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4E" w:rsidRPr="0076634E" w:rsidRDefault="0076634E" w:rsidP="0076634E">
      <w:pPr>
        <w:keepNext/>
        <w:keepLines/>
        <w:spacing w:after="0" w:line="240" w:lineRule="auto"/>
        <w:ind w:right="-237"/>
        <w:outlineLvl w:val="1"/>
        <w:rPr>
          <w:rFonts w:ascii="Arial" w:eastAsia="Libre Baskerville" w:hAnsi="Arial" w:cs="Arial"/>
          <w:color w:val="000000"/>
          <w:lang w:eastAsia="en-GB"/>
        </w:rPr>
      </w:pPr>
      <w:bookmarkStart w:id="0" w:name="_GoBack"/>
      <w:bookmarkEnd w:id="0"/>
    </w:p>
    <w:p w:rsidR="0076634E" w:rsidRPr="0076634E" w:rsidRDefault="0076634E" w:rsidP="0076634E">
      <w:pPr>
        <w:spacing w:after="0" w:line="240" w:lineRule="auto"/>
        <w:ind w:right="-237"/>
        <w:rPr>
          <w:rFonts w:ascii="Arial" w:eastAsia="Libre Baskerville" w:hAnsi="Arial" w:cs="Arial"/>
          <w:color w:val="000000"/>
          <w:lang w:eastAsia="en-GB"/>
        </w:rPr>
      </w:pPr>
    </w:p>
    <w:tbl>
      <w:tblPr>
        <w:tblW w:w="8595" w:type="dxa"/>
        <w:tblInd w:w="17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595"/>
      </w:tblGrid>
      <w:tr w:rsidR="0076634E" w:rsidRPr="0076634E" w:rsidTr="00F67C2E">
        <w:trPr>
          <w:trHeight w:val="526"/>
        </w:trPr>
        <w:tc>
          <w:tcPr>
            <w:tcW w:w="8595" w:type="dxa"/>
            <w:tcBorders>
              <w:top w:val="single" w:sz="36" w:space="0" w:color="000000"/>
              <w:left w:val="nil"/>
              <w:bottom w:val="single" w:sz="36" w:space="0" w:color="000000"/>
              <w:right w:val="nil"/>
            </w:tcBorders>
          </w:tcPr>
          <w:p w:rsidR="0076634E" w:rsidRPr="0076634E" w:rsidRDefault="0076634E" w:rsidP="0076634E">
            <w:pPr>
              <w:spacing w:after="0" w:line="240" w:lineRule="auto"/>
              <w:ind w:right="-237"/>
              <w:jc w:val="center"/>
              <w:rPr>
                <w:rFonts w:ascii="Arial" w:eastAsia="Libre Baskerville" w:hAnsi="Arial" w:cs="Arial"/>
                <w:color w:val="000000"/>
                <w:lang w:eastAsia="en-GB"/>
              </w:rPr>
            </w:pPr>
          </w:p>
          <w:p w:rsidR="0076634E" w:rsidRPr="0076634E" w:rsidRDefault="00F67C2E" w:rsidP="0076634E">
            <w:pPr>
              <w:keepNext/>
              <w:keepLines/>
              <w:spacing w:after="0" w:line="240" w:lineRule="auto"/>
              <w:ind w:right="-237"/>
              <w:jc w:val="center"/>
              <w:outlineLvl w:val="0"/>
              <w:rPr>
                <w:rFonts w:ascii="Arial" w:eastAsia="Arial" w:hAnsi="Arial" w:cs="Arial"/>
                <w:b/>
                <w:color w:val="000000"/>
                <w:lang w:eastAsia="en-GB"/>
              </w:rPr>
            </w:pPr>
            <w:bookmarkStart w:id="1" w:name="h.gjdgxs" w:colFirst="0" w:colLast="0"/>
            <w:bookmarkEnd w:id="1"/>
            <w:r w:rsidRPr="00F67C2E">
              <w:rPr>
                <w:rFonts w:ascii="Arial" w:eastAsia="Arial" w:hAnsi="Arial" w:cs="Arial"/>
                <w:b/>
                <w:color w:val="000000"/>
                <w:lang w:eastAsia="en-GB"/>
              </w:rPr>
              <w:t xml:space="preserve">Home Affairs </w:t>
            </w:r>
            <w:r w:rsidR="0076634E" w:rsidRPr="0076634E">
              <w:rPr>
                <w:rFonts w:ascii="Arial" w:eastAsia="Arial" w:hAnsi="Arial" w:cs="Arial"/>
                <w:b/>
                <w:color w:val="000000"/>
                <w:lang w:eastAsia="en-GB"/>
              </w:rPr>
              <w:t>C</w:t>
            </w:r>
            <w:r>
              <w:rPr>
                <w:rFonts w:ascii="Arial" w:eastAsia="Arial" w:hAnsi="Arial" w:cs="Arial"/>
                <w:b/>
                <w:color w:val="000000"/>
                <w:lang w:eastAsia="en-GB"/>
              </w:rPr>
              <w:t xml:space="preserve">ommittee </w:t>
            </w:r>
            <w:r w:rsidRPr="00F67C2E">
              <w:rPr>
                <w:rFonts w:ascii="Arial" w:eastAsia="Arial" w:hAnsi="Arial" w:cs="Arial"/>
                <w:b/>
                <w:i/>
                <w:color w:val="000000"/>
                <w:lang w:eastAsia="en-GB"/>
              </w:rPr>
              <w:t>“developing a consensus on an effective immigration policy</w:t>
            </w:r>
            <w:r w:rsidR="0076634E" w:rsidRPr="0076634E">
              <w:rPr>
                <w:rFonts w:ascii="Arial" w:eastAsia="Arial" w:hAnsi="Arial" w:cs="Arial"/>
                <w:b/>
                <w:i/>
                <w:color w:val="000000"/>
                <w:lang w:eastAsia="en-GB"/>
              </w:rPr>
              <w:t>”</w:t>
            </w:r>
            <w:r w:rsidR="0076634E" w:rsidRPr="0076634E">
              <w:rPr>
                <w:rFonts w:ascii="Arial" w:eastAsia="Arial" w:hAnsi="Arial" w:cs="Arial"/>
                <w:b/>
                <w:color w:val="000000"/>
                <w:lang w:eastAsia="en-GB"/>
              </w:rPr>
              <w:t xml:space="preserve"> </w:t>
            </w:r>
          </w:p>
          <w:p w:rsidR="0076634E" w:rsidRPr="0076634E" w:rsidRDefault="0076634E" w:rsidP="0076634E">
            <w:pPr>
              <w:keepNext/>
              <w:keepLines/>
              <w:spacing w:after="0" w:line="240" w:lineRule="auto"/>
              <w:ind w:right="-237"/>
              <w:jc w:val="center"/>
              <w:outlineLvl w:val="0"/>
              <w:rPr>
                <w:rFonts w:ascii="Arial" w:eastAsia="Libre Baskerville" w:hAnsi="Arial" w:cs="Arial"/>
                <w:color w:val="000000"/>
                <w:lang w:eastAsia="en-GB"/>
              </w:rPr>
            </w:pPr>
            <w:r w:rsidRPr="0076634E">
              <w:rPr>
                <w:rFonts w:ascii="Arial" w:eastAsia="Arial" w:hAnsi="Arial" w:cs="Arial"/>
                <w:b/>
                <w:color w:val="000000"/>
                <w:lang w:eastAsia="en-GB"/>
              </w:rPr>
              <w:t>GuildHE’s Written Response to the Call for Evidence</w:t>
            </w:r>
          </w:p>
          <w:p w:rsidR="0076634E" w:rsidRPr="0076634E" w:rsidRDefault="0076634E" w:rsidP="0076634E">
            <w:pPr>
              <w:spacing w:after="0" w:line="240" w:lineRule="auto"/>
              <w:ind w:right="-237"/>
              <w:rPr>
                <w:rFonts w:ascii="Arial" w:eastAsia="Libre Baskerville" w:hAnsi="Arial" w:cs="Arial"/>
                <w:color w:val="000000"/>
                <w:lang w:eastAsia="en-GB"/>
              </w:rPr>
            </w:pPr>
          </w:p>
        </w:tc>
      </w:tr>
    </w:tbl>
    <w:p w:rsidR="0076634E" w:rsidRPr="0076634E" w:rsidRDefault="0076634E" w:rsidP="0076634E">
      <w:pPr>
        <w:spacing w:after="0" w:line="240" w:lineRule="auto"/>
        <w:ind w:right="-237"/>
        <w:rPr>
          <w:rFonts w:ascii="Arial" w:eastAsia="Libre Baskerville" w:hAnsi="Arial" w:cs="Arial"/>
          <w:color w:val="000000"/>
          <w:lang w:eastAsia="en-GB"/>
        </w:rPr>
      </w:pPr>
    </w:p>
    <w:p w:rsidR="0076634E" w:rsidRPr="0076634E" w:rsidRDefault="00F67C2E" w:rsidP="0076634E">
      <w:pPr>
        <w:spacing w:after="0" w:line="240" w:lineRule="auto"/>
        <w:ind w:right="-237"/>
        <w:jc w:val="center"/>
        <w:rPr>
          <w:rFonts w:ascii="Arial" w:eastAsia="Libre Baskerville" w:hAnsi="Arial" w:cs="Arial"/>
          <w:color w:val="000000"/>
          <w:lang w:eastAsia="en-GB"/>
        </w:rPr>
      </w:pPr>
      <w:r>
        <w:rPr>
          <w:rFonts w:ascii="Arial" w:eastAsia="Arial" w:hAnsi="Arial" w:cs="Arial"/>
          <w:b/>
          <w:color w:val="000000"/>
          <w:lang w:eastAsia="en-GB"/>
        </w:rPr>
        <w:t>20 January 2017</w:t>
      </w:r>
    </w:p>
    <w:p w:rsidR="0076634E" w:rsidRPr="0076634E" w:rsidRDefault="0076634E" w:rsidP="0076634E">
      <w:pPr>
        <w:spacing w:after="0" w:line="240" w:lineRule="auto"/>
        <w:ind w:right="-237"/>
        <w:jc w:val="center"/>
        <w:rPr>
          <w:rFonts w:ascii="Arial" w:eastAsia="Libre Baskerville" w:hAnsi="Arial" w:cs="Arial"/>
          <w:color w:val="000000"/>
          <w:lang w:eastAsia="en-GB"/>
        </w:rPr>
      </w:pPr>
    </w:p>
    <w:p w:rsidR="0076634E" w:rsidRPr="0076634E" w:rsidRDefault="0076634E" w:rsidP="0076634E">
      <w:pPr>
        <w:spacing w:after="0" w:line="240" w:lineRule="auto"/>
        <w:ind w:left="-426" w:right="-520" w:hanging="425"/>
        <w:rPr>
          <w:rFonts w:ascii="Arial" w:eastAsia="Arial" w:hAnsi="Arial" w:cs="Arial"/>
          <w:b/>
          <w:color w:val="385623" w:themeColor="accent6" w:themeShade="80"/>
          <w:lang w:eastAsia="en-GB"/>
        </w:rPr>
      </w:pPr>
      <w:r w:rsidRPr="0076634E">
        <w:rPr>
          <w:rFonts w:ascii="Arial" w:eastAsia="Arial" w:hAnsi="Arial" w:cs="Arial"/>
          <w:b/>
          <w:color w:val="385623" w:themeColor="accent6" w:themeShade="80"/>
          <w:lang w:eastAsia="en-GB"/>
        </w:rPr>
        <w:t>GuildHE</w:t>
      </w:r>
    </w:p>
    <w:p w:rsidR="0076634E" w:rsidRPr="0076634E" w:rsidRDefault="0076634E" w:rsidP="0076634E">
      <w:pPr>
        <w:spacing w:after="0" w:line="240" w:lineRule="auto"/>
        <w:ind w:left="-426" w:right="-520" w:hanging="425"/>
        <w:rPr>
          <w:rFonts w:ascii="Arial" w:eastAsia="Arial" w:hAnsi="Arial" w:cs="Arial"/>
          <w:b/>
          <w:color w:val="385623" w:themeColor="accent6" w:themeShade="80"/>
          <w:lang w:eastAsia="en-GB"/>
        </w:rPr>
      </w:pPr>
    </w:p>
    <w:p w:rsidR="0076634E" w:rsidRPr="0076634E" w:rsidRDefault="00FA0253" w:rsidP="0076634E">
      <w:pPr>
        <w:numPr>
          <w:ilvl w:val="0"/>
          <w:numId w:val="4"/>
        </w:numPr>
        <w:spacing w:after="0" w:line="240" w:lineRule="auto"/>
        <w:ind w:left="-426" w:right="-520" w:hanging="425"/>
        <w:rPr>
          <w:rFonts w:ascii="Arial" w:eastAsia="Arial" w:hAnsi="Arial" w:cs="Arial"/>
          <w:i/>
          <w:color w:val="385623" w:themeColor="accent6" w:themeShade="80"/>
          <w:lang w:val="en-US"/>
        </w:rPr>
      </w:pPr>
      <w:hyperlink r:id="rId8" w:history="1">
        <w:r w:rsidR="0076634E" w:rsidRPr="0076634E">
          <w:rPr>
            <w:rFonts w:ascii="Arial" w:eastAsia="Arial" w:hAnsi="Arial" w:cs="Arial"/>
            <w:i/>
            <w:color w:val="0563C1" w:themeColor="hyperlink"/>
            <w:u w:val="single"/>
            <w:lang w:val="en-US"/>
          </w:rPr>
          <w:t>GuildHE</w:t>
        </w:r>
      </w:hyperlink>
      <w:r w:rsidR="0076634E" w:rsidRPr="0076634E">
        <w:rPr>
          <w:rFonts w:ascii="Arial" w:eastAsia="Arial" w:hAnsi="Arial" w:cs="Arial"/>
          <w:i/>
          <w:color w:val="385623" w:themeColor="accent6" w:themeShade="80"/>
          <w:lang w:val="en-US"/>
        </w:rPr>
        <w:t xml:space="preserve"> is an officially</w:t>
      </w:r>
      <w:r w:rsidR="0076634E" w:rsidRPr="0076634E">
        <w:rPr>
          <w:rFonts w:ascii="Arial" w:eastAsia="Arial" w:hAnsi="Arial" w:cs="Arial"/>
          <w:i/>
          <w:color w:val="385623" w:themeColor="accent6" w:themeShade="80"/>
        </w:rPr>
        <w:t xml:space="preserve"> recognised</w:t>
      </w:r>
      <w:r w:rsidR="0076634E" w:rsidRPr="0076634E">
        <w:rPr>
          <w:rFonts w:ascii="Arial" w:eastAsia="Arial" w:hAnsi="Arial" w:cs="Arial"/>
          <w:i/>
          <w:color w:val="385623" w:themeColor="accent6" w:themeShade="80"/>
          <w:lang w:val="en-US"/>
        </w:rPr>
        <w:t xml:space="preserve"> representative body for UK Higher Education. Our members include universities, university colleges, further education colleges and specialist institutions from both the traditional and private (“for profit” and “not for profit”) sectors. Member institutions include some major providers in professional subject areas including art, design and media, music and the performing arts; agriculture and food; education; maritime; health and sports.</w:t>
      </w:r>
    </w:p>
    <w:p w:rsidR="0076634E" w:rsidRPr="0076634E" w:rsidRDefault="0076634E" w:rsidP="0076634E">
      <w:pPr>
        <w:spacing w:after="0" w:line="240" w:lineRule="auto"/>
        <w:ind w:left="-426" w:right="-520" w:hanging="425"/>
        <w:rPr>
          <w:rFonts w:ascii="Arial" w:eastAsia="Arial" w:hAnsi="Arial" w:cs="Arial"/>
          <w:b/>
          <w:color w:val="385623" w:themeColor="accent6" w:themeShade="80"/>
          <w:lang w:eastAsia="en-GB"/>
        </w:rPr>
      </w:pPr>
    </w:p>
    <w:p w:rsidR="0076634E" w:rsidRPr="0076634E" w:rsidRDefault="0076634E" w:rsidP="0076634E">
      <w:pPr>
        <w:spacing w:after="0" w:line="240" w:lineRule="auto"/>
        <w:ind w:left="-426" w:right="-520" w:hanging="425"/>
        <w:rPr>
          <w:rFonts w:ascii="Arial" w:eastAsia="Arial" w:hAnsi="Arial" w:cs="Arial"/>
          <w:b/>
          <w:color w:val="385623" w:themeColor="accent6" w:themeShade="80"/>
          <w:lang w:eastAsia="en-GB"/>
        </w:rPr>
      </w:pPr>
    </w:p>
    <w:p w:rsidR="0076634E" w:rsidRPr="0076634E" w:rsidRDefault="0076634E" w:rsidP="0076634E">
      <w:pPr>
        <w:spacing w:after="0" w:line="240" w:lineRule="auto"/>
        <w:ind w:left="-426" w:right="-520" w:hanging="425"/>
        <w:rPr>
          <w:rFonts w:ascii="Arial" w:eastAsia="Arial" w:hAnsi="Arial" w:cs="Arial"/>
          <w:b/>
          <w:color w:val="385623" w:themeColor="accent6" w:themeShade="80"/>
          <w:lang w:eastAsia="en-GB"/>
        </w:rPr>
      </w:pPr>
      <w:r w:rsidRPr="0076634E">
        <w:rPr>
          <w:rFonts w:ascii="Arial" w:eastAsia="Arial" w:hAnsi="Arial" w:cs="Arial"/>
          <w:b/>
          <w:color w:val="385623" w:themeColor="accent6" w:themeShade="80"/>
          <w:lang w:eastAsia="en-GB"/>
        </w:rPr>
        <w:t>Opening comment</w:t>
      </w:r>
    </w:p>
    <w:p w:rsidR="0076634E" w:rsidRPr="0076634E" w:rsidRDefault="0076634E" w:rsidP="0076634E">
      <w:pPr>
        <w:spacing w:after="0" w:line="240" w:lineRule="auto"/>
        <w:ind w:left="-426" w:right="-520" w:hanging="425"/>
        <w:rPr>
          <w:rFonts w:ascii="Arial" w:eastAsia="Arial" w:hAnsi="Arial" w:cs="Arial"/>
          <w:color w:val="000000"/>
          <w:lang w:eastAsia="en-GB"/>
        </w:rPr>
      </w:pPr>
    </w:p>
    <w:p w:rsidR="00AB7B4F" w:rsidRDefault="00AB7B4F" w:rsidP="00AB7B4F">
      <w:pPr>
        <w:numPr>
          <w:ilvl w:val="0"/>
          <w:numId w:val="4"/>
        </w:numPr>
        <w:spacing w:after="0" w:line="240" w:lineRule="auto"/>
        <w:ind w:left="-426" w:right="-520"/>
        <w:rPr>
          <w:rFonts w:ascii="Arial" w:eastAsia="Arial" w:hAnsi="Arial" w:cs="Arial"/>
        </w:rPr>
      </w:pPr>
      <w:r>
        <w:rPr>
          <w:rFonts w:ascii="Arial" w:eastAsia="Arial" w:hAnsi="Arial" w:cs="Arial"/>
        </w:rPr>
        <w:t>GuildHE recognise and celebrate</w:t>
      </w:r>
      <w:r w:rsidR="00F67C2E">
        <w:rPr>
          <w:rFonts w:ascii="Arial" w:eastAsia="Arial" w:hAnsi="Arial" w:cs="Arial"/>
        </w:rPr>
        <w:t xml:space="preserve"> the </w:t>
      </w:r>
      <w:r w:rsidR="00F67C2E" w:rsidRPr="00F67C2E">
        <w:rPr>
          <w:rFonts w:ascii="Arial" w:eastAsia="Arial" w:hAnsi="Arial" w:cs="Arial"/>
        </w:rPr>
        <w:t>financial,</w:t>
      </w:r>
      <w:r w:rsidR="00F67C2E">
        <w:rPr>
          <w:rFonts w:ascii="Arial" w:eastAsia="Arial" w:hAnsi="Arial" w:cs="Arial"/>
        </w:rPr>
        <w:t xml:space="preserve"> </w:t>
      </w:r>
      <w:r w:rsidR="00F67C2E" w:rsidRPr="00F67C2E">
        <w:rPr>
          <w:rFonts w:ascii="Arial" w:eastAsia="Arial" w:hAnsi="Arial" w:cs="Arial"/>
        </w:rPr>
        <w:t>cultural and intellectual value of</w:t>
      </w:r>
      <w:r w:rsidR="00F67C2E">
        <w:rPr>
          <w:rFonts w:ascii="Arial" w:eastAsia="Arial" w:hAnsi="Arial" w:cs="Arial"/>
        </w:rPr>
        <w:t xml:space="preserve"> </w:t>
      </w:r>
      <w:r w:rsidR="00F67C2E" w:rsidRPr="00F67C2E">
        <w:rPr>
          <w:rFonts w:ascii="Arial" w:eastAsia="Arial" w:hAnsi="Arial" w:cs="Arial"/>
        </w:rPr>
        <w:t>i</w:t>
      </w:r>
      <w:r>
        <w:rPr>
          <w:rFonts w:ascii="Arial" w:eastAsia="Arial" w:hAnsi="Arial" w:cs="Arial"/>
        </w:rPr>
        <w:t>nternational students to the UK, and believe that this should be reflected in the government’s immigration policy.</w:t>
      </w:r>
      <w:r>
        <w:rPr>
          <w:rFonts w:ascii="Arial" w:eastAsia="Arial" w:hAnsi="Arial" w:cs="Arial"/>
        </w:rPr>
        <w:br/>
      </w:r>
    </w:p>
    <w:p w:rsidR="008838C3" w:rsidRDefault="00D95A43" w:rsidP="008838C3">
      <w:pPr>
        <w:numPr>
          <w:ilvl w:val="0"/>
          <w:numId w:val="4"/>
        </w:numPr>
        <w:spacing w:after="0" w:line="240" w:lineRule="auto"/>
        <w:ind w:left="-426" w:right="-520"/>
        <w:rPr>
          <w:rFonts w:ascii="Arial" w:eastAsia="Arial" w:hAnsi="Arial" w:cs="Arial"/>
        </w:rPr>
      </w:pPr>
      <w:r>
        <w:rPr>
          <w:rFonts w:ascii="Arial" w:eastAsia="Arial" w:hAnsi="Arial" w:cs="Arial"/>
        </w:rPr>
        <w:t>We</w:t>
      </w:r>
      <w:r w:rsidR="00594971">
        <w:rPr>
          <w:rFonts w:ascii="Arial" w:eastAsia="Arial" w:hAnsi="Arial" w:cs="Arial"/>
        </w:rPr>
        <w:t xml:space="preserve"> believe</w:t>
      </w:r>
      <w:r w:rsidR="0084121D">
        <w:rPr>
          <w:rFonts w:ascii="Arial" w:eastAsia="Arial" w:hAnsi="Arial" w:cs="Arial"/>
        </w:rPr>
        <w:t xml:space="preserve"> that the global reputation of UK universities hinges upon the teaching and research of their academics – many of which come from overseas.</w:t>
      </w:r>
      <w:r>
        <w:rPr>
          <w:rFonts w:ascii="Arial" w:eastAsia="Arial" w:hAnsi="Arial" w:cs="Arial"/>
        </w:rPr>
        <w:t xml:space="preserve"> Furthermore, that the day-to-day operations of UK HEIs are reliant upon international</w:t>
      </w:r>
      <w:r w:rsidR="00DA76D3">
        <w:rPr>
          <w:rFonts w:ascii="Arial" w:eastAsia="Arial" w:hAnsi="Arial" w:cs="Arial"/>
        </w:rPr>
        <w:t xml:space="preserve"> technical</w:t>
      </w:r>
      <w:r>
        <w:rPr>
          <w:rFonts w:ascii="Arial" w:eastAsia="Arial" w:hAnsi="Arial" w:cs="Arial"/>
        </w:rPr>
        <w:t xml:space="preserve"> staff.</w:t>
      </w:r>
      <w:r w:rsidR="0084121D">
        <w:rPr>
          <w:rFonts w:ascii="Arial" w:eastAsia="Arial" w:hAnsi="Arial" w:cs="Arial"/>
        </w:rPr>
        <w:t xml:space="preserve"> </w:t>
      </w:r>
      <w:r w:rsidR="00594971">
        <w:rPr>
          <w:rFonts w:ascii="Arial" w:eastAsia="Arial" w:hAnsi="Arial" w:cs="Arial"/>
        </w:rPr>
        <w:t>We have a number of concerns around tightening restrictions around academics</w:t>
      </w:r>
      <w:r>
        <w:rPr>
          <w:rFonts w:ascii="Arial" w:eastAsia="Arial" w:hAnsi="Arial" w:cs="Arial"/>
        </w:rPr>
        <w:t xml:space="preserve"> and other staff</w:t>
      </w:r>
      <w:r w:rsidR="00594971">
        <w:rPr>
          <w:rFonts w:ascii="Arial" w:eastAsia="Arial" w:hAnsi="Arial" w:cs="Arial"/>
        </w:rPr>
        <w:t xml:space="preserve"> entering the UK.</w:t>
      </w:r>
      <w:r w:rsidR="008D47BF">
        <w:rPr>
          <w:rFonts w:ascii="Arial" w:eastAsia="Arial" w:hAnsi="Arial" w:cs="Arial"/>
        </w:rPr>
        <w:br/>
      </w:r>
    </w:p>
    <w:p w:rsidR="008D47BF" w:rsidRPr="008D47BF" w:rsidRDefault="008D47BF" w:rsidP="008D47BF">
      <w:pPr>
        <w:spacing w:after="0" w:line="240" w:lineRule="auto"/>
        <w:ind w:left="-851" w:right="-520"/>
        <w:rPr>
          <w:rFonts w:ascii="Arial" w:eastAsia="Arial" w:hAnsi="Arial" w:cs="Arial"/>
          <w:b/>
          <w:color w:val="385623" w:themeColor="accent6" w:themeShade="80"/>
        </w:rPr>
      </w:pPr>
      <w:r w:rsidRPr="008D47BF">
        <w:rPr>
          <w:rFonts w:ascii="Arial" w:eastAsia="Arial" w:hAnsi="Arial" w:cs="Arial"/>
          <w:b/>
          <w:color w:val="385623" w:themeColor="accent6" w:themeShade="80"/>
        </w:rPr>
        <w:t>International Students and Migration</w:t>
      </w:r>
    </w:p>
    <w:p w:rsidR="008D47BF" w:rsidRPr="008D47BF" w:rsidRDefault="008D47BF" w:rsidP="008D47BF">
      <w:pPr>
        <w:spacing w:after="0" w:line="240" w:lineRule="auto"/>
        <w:ind w:left="-786" w:right="-520"/>
        <w:rPr>
          <w:rFonts w:ascii="Arial" w:eastAsia="Arial" w:hAnsi="Arial" w:cs="Arial"/>
        </w:rPr>
      </w:pPr>
    </w:p>
    <w:p w:rsidR="008D47BF" w:rsidRPr="008D47BF" w:rsidRDefault="008D47BF" w:rsidP="008D47BF">
      <w:pPr>
        <w:numPr>
          <w:ilvl w:val="0"/>
          <w:numId w:val="4"/>
        </w:numPr>
        <w:spacing w:after="0" w:line="240" w:lineRule="auto"/>
        <w:ind w:left="-426" w:right="-520"/>
        <w:rPr>
          <w:rFonts w:ascii="Arial" w:eastAsia="Arial" w:hAnsi="Arial" w:cs="Arial"/>
        </w:rPr>
      </w:pPr>
      <w:r w:rsidRPr="008D47BF">
        <w:rPr>
          <w:rFonts w:ascii="Arial" w:eastAsia="Arial" w:hAnsi="Arial" w:cs="Arial"/>
        </w:rPr>
        <w:t>GuildHE strongly believe that international students play an important role in the HE sector, and in British society. Alongside contributing around £14bn to the UK economy every year, they add resources to our institutions and intellectual capital to our academic and research base.</w:t>
      </w:r>
      <w:r w:rsidR="00976F4D" w:rsidRPr="00976F4D">
        <w:rPr>
          <w:rFonts w:ascii="Arial" w:hAnsi="Arial" w:cs="Arial"/>
        </w:rPr>
        <w:t xml:space="preserve"> </w:t>
      </w:r>
      <w:r w:rsidR="00976F4D">
        <w:rPr>
          <w:rStyle w:val="FootnoteReference"/>
          <w:rFonts w:ascii="Arial" w:hAnsi="Arial" w:cs="Arial"/>
        </w:rPr>
        <w:footnoteReference w:id="1"/>
      </w:r>
      <w:r w:rsidRPr="008D47BF">
        <w:rPr>
          <w:rFonts w:ascii="Arial" w:eastAsia="Arial" w:hAnsi="Arial" w:cs="Arial"/>
        </w:rPr>
        <w:t xml:space="preserve"> They help to sustain courses in high priority subject areas and expand the horizons and perspectives of our UK students many of whom will work in international companies. </w:t>
      </w:r>
    </w:p>
    <w:p w:rsidR="008D47BF" w:rsidRPr="008D47BF" w:rsidRDefault="008D47BF" w:rsidP="008D47BF">
      <w:pPr>
        <w:spacing w:after="0" w:line="240" w:lineRule="auto"/>
        <w:ind w:left="-426" w:right="-520"/>
        <w:rPr>
          <w:rFonts w:ascii="Arial" w:eastAsia="Arial" w:hAnsi="Arial" w:cs="Arial"/>
        </w:rPr>
      </w:pPr>
    </w:p>
    <w:p w:rsidR="008D47BF" w:rsidRPr="004D48FA" w:rsidRDefault="008D47BF" w:rsidP="004D48FA">
      <w:pPr>
        <w:numPr>
          <w:ilvl w:val="0"/>
          <w:numId w:val="4"/>
        </w:numPr>
        <w:spacing w:after="0" w:line="240" w:lineRule="auto"/>
        <w:ind w:left="-426" w:right="-520"/>
        <w:rPr>
          <w:rFonts w:ascii="Arial" w:eastAsia="Arial" w:hAnsi="Arial" w:cs="Arial"/>
        </w:rPr>
      </w:pPr>
      <w:r w:rsidRPr="008D47BF">
        <w:rPr>
          <w:rFonts w:ascii="Arial" w:eastAsia="Arial" w:hAnsi="Arial" w:cs="Arial"/>
        </w:rPr>
        <w:t xml:space="preserve">Furthermore, the classification of international students as immigrants is at odds with public perception. </w:t>
      </w:r>
      <w:r w:rsidR="004D48FA">
        <w:rPr>
          <w:rFonts w:ascii="Arial" w:eastAsia="Arial" w:hAnsi="Arial" w:cs="Arial"/>
        </w:rPr>
        <w:t>A ComRes poll conducted for U</w:t>
      </w:r>
      <w:r w:rsidR="00BD47AD">
        <w:rPr>
          <w:rFonts w:ascii="Arial" w:eastAsia="Arial" w:hAnsi="Arial" w:cs="Arial"/>
        </w:rPr>
        <w:t xml:space="preserve">niversities </w:t>
      </w:r>
      <w:r w:rsidR="004D48FA">
        <w:rPr>
          <w:rFonts w:ascii="Arial" w:eastAsia="Arial" w:hAnsi="Arial" w:cs="Arial"/>
        </w:rPr>
        <w:t xml:space="preserve">UK last September </w:t>
      </w:r>
      <w:r w:rsidR="004D48FA" w:rsidRPr="004D48FA">
        <w:rPr>
          <w:rFonts w:ascii="Helvetica" w:hAnsi="Helvetica"/>
          <w:color w:val="000000" w:themeColor="text1"/>
          <w:sz w:val="21"/>
          <w:szCs w:val="21"/>
        </w:rPr>
        <w:t>revealed that only a quarter (24%) of British adults think of international students as immigrants. Of thos</w:t>
      </w:r>
      <w:r w:rsidR="004D48FA">
        <w:rPr>
          <w:rFonts w:ascii="Helvetica" w:hAnsi="Helvetica"/>
          <w:color w:val="000000" w:themeColor="text1"/>
          <w:sz w:val="21"/>
          <w:szCs w:val="21"/>
        </w:rPr>
        <w:t>e that expressed a view, 75% said</w:t>
      </w:r>
      <w:r w:rsidR="004D48FA" w:rsidRPr="004D48FA">
        <w:rPr>
          <w:rFonts w:ascii="Helvetica" w:hAnsi="Helvetica"/>
          <w:color w:val="000000" w:themeColor="text1"/>
          <w:sz w:val="21"/>
          <w:szCs w:val="21"/>
        </w:rPr>
        <w:t xml:space="preserve"> they would like to see the same number, or more, international students in the UK, a figure which jumped to 87% once information on the economic benefits of international students was provided.</w:t>
      </w:r>
      <w:r w:rsidR="004D48FA">
        <w:rPr>
          <w:rStyle w:val="FootnoteReference"/>
          <w:rFonts w:ascii="Helvetica" w:hAnsi="Helvetica"/>
          <w:color w:val="000000" w:themeColor="text1"/>
          <w:sz w:val="21"/>
          <w:szCs w:val="21"/>
        </w:rPr>
        <w:footnoteReference w:id="2"/>
      </w:r>
      <w:r w:rsidR="004D48FA" w:rsidRPr="004D48FA">
        <w:rPr>
          <w:rFonts w:ascii="Helvetica" w:hAnsi="Helvetica"/>
          <w:color w:val="000000" w:themeColor="text1"/>
          <w:sz w:val="21"/>
          <w:szCs w:val="21"/>
        </w:rPr>
        <w:t xml:space="preserve"> </w:t>
      </w:r>
      <w:r w:rsidRPr="00ED4A64">
        <w:rPr>
          <w:rFonts w:ascii="Arial" w:eastAsia="Arial" w:hAnsi="Arial" w:cs="Arial"/>
        </w:rPr>
        <w:t>This suggests that by treating international students as immigrants, and restricting their rights or freedo</w:t>
      </w:r>
      <w:r w:rsidR="004D48FA">
        <w:rPr>
          <w:rFonts w:ascii="Arial" w:eastAsia="Arial" w:hAnsi="Arial" w:cs="Arial"/>
        </w:rPr>
        <w:t>m of movement, will not address the public’s concerns over immigration</w:t>
      </w:r>
      <w:r w:rsidRPr="004D48FA">
        <w:rPr>
          <w:rFonts w:ascii="Arial" w:eastAsia="Arial" w:hAnsi="Arial" w:cs="Arial"/>
        </w:rPr>
        <w:t>.</w:t>
      </w:r>
    </w:p>
    <w:p w:rsidR="008D47BF" w:rsidRPr="008D47BF" w:rsidRDefault="008D47BF" w:rsidP="008D47BF">
      <w:pPr>
        <w:spacing w:after="0" w:line="240" w:lineRule="auto"/>
        <w:ind w:left="-786" w:right="-520"/>
        <w:rPr>
          <w:rFonts w:ascii="Arial" w:eastAsia="Arial" w:hAnsi="Arial" w:cs="Arial"/>
        </w:rPr>
      </w:pPr>
    </w:p>
    <w:p w:rsidR="008D47BF" w:rsidRPr="008D47BF" w:rsidRDefault="008D47BF" w:rsidP="008D47BF">
      <w:pPr>
        <w:numPr>
          <w:ilvl w:val="0"/>
          <w:numId w:val="4"/>
        </w:numPr>
        <w:spacing w:after="0" w:line="240" w:lineRule="auto"/>
        <w:ind w:left="-426" w:right="-520"/>
        <w:rPr>
          <w:rFonts w:ascii="Arial" w:eastAsia="Arial" w:hAnsi="Arial" w:cs="Arial"/>
        </w:rPr>
      </w:pPr>
      <w:r w:rsidRPr="008D47BF">
        <w:rPr>
          <w:rFonts w:ascii="Arial" w:eastAsia="Arial" w:hAnsi="Arial" w:cs="Arial"/>
        </w:rPr>
        <w:t>There is already a reduction in the number of non-EU international students in the UK. The UCAS End of Year Cycle Report for last year reports that this is the first time they have fallen since 2011, and reflects both a decrease in applications and a decrease in acceptances.</w:t>
      </w:r>
      <w:r w:rsidR="00976F4D">
        <w:rPr>
          <w:rStyle w:val="FootnoteReference"/>
          <w:rFonts w:ascii="Arial" w:hAnsi="Arial" w:cs="Arial"/>
        </w:rPr>
        <w:footnoteReference w:id="3"/>
      </w:r>
      <w:r w:rsidR="00976F4D">
        <w:rPr>
          <w:rFonts w:ascii="Arial" w:hAnsi="Arial" w:cs="Arial"/>
        </w:rPr>
        <w:t xml:space="preserve"> </w:t>
      </w:r>
      <w:r w:rsidRPr="008D47BF">
        <w:rPr>
          <w:rFonts w:ascii="Arial" w:eastAsia="Arial" w:hAnsi="Arial" w:cs="Arial"/>
        </w:rPr>
        <w:t>It is likely that the result of Brexit will negatively impact the numbers of EU applicants for the next cycle. This could be somewhat mitigated by a fair and welcoming international student immigration policy.</w:t>
      </w:r>
    </w:p>
    <w:p w:rsidR="008D47BF" w:rsidRPr="008D47BF" w:rsidRDefault="008D47BF" w:rsidP="008D47BF">
      <w:pPr>
        <w:spacing w:after="0" w:line="240" w:lineRule="auto"/>
        <w:ind w:left="-786" w:right="-520"/>
        <w:rPr>
          <w:rFonts w:ascii="Arial" w:eastAsia="Arial" w:hAnsi="Arial" w:cs="Arial"/>
        </w:rPr>
      </w:pPr>
    </w:p>
    <w:p w:rsidR="001D2C64" w:rsidRPr="001D2C64" w:rsidRDefault="008D47BF" w:rsidP="001D2C64">
      <w:pPr>
        <w:numPr>
          <w:ilvl w:val="0"/>
          <w:numId w:val="4"/>
        </w:numPr>
        <w:spacing w:after="0" w:line="240" w:lineRule="auto"/>
        <w:ind w:left="-426" w:right="-520"/>
        <w:rPr>
          <w:rFonts w:ascii="Arial" w:eastAsia="Arial" w:hAnsi="Arial" w:cs="Arial"/>
        </w:rPr>
      </w:pPr>
      <w:r w:rsidRPr="008D47BF">
        <w:rPr>
          <w:rFonts w:ascii="Arial" w:eastAsia="Arial" w:hAnsi="Arial" w:cs="Arial"/>
        </w:rPr>
        <w:t xml:space="preserve">In their report on the financial health of the sector, </w:t>
      </w:r>
      <w:r w:rsidR="00BD47AD">
        <w:rPr>
          <w:rFonts w:ascii="Arial" w:eastAsia="Arial" w:hAnsi="Arial" w:cs="Arial"/>
        </w:rPr>
        <w:t>The Higher Education Funding Council for England (</w:t>
      </w:r>
      <w:r w:rsidRPr="008D47BF">
        <w:rPr>
          <w:rFonts w:ascii="Arial" w:eastAsia="Arial" w:hAnsi="Arial" w:cs="Arial"/>
        </w:rPr>
        <w:t>HEFCE</w:t>
      </w:r>
      <w:r w:rsidR="00BD47AD">
        <w:rPr>
          <w:rFonts w:ascii="Arial" w:eastAsia="Arial" w:hAnsi="Arial" w:cs="Arial"/>
        </w:rPr>
        <w:t>)</w:t>
      </w:r>
      <w:r w:rsidRPr="008D47BF">
        <w:rPr>
          <w:rFonts w:ascii="Arial" w:eastAsia="Arial" w:hAnsi="Arial" w:cs="Arial"/>
        </w:rPr>
        <w:t xml:space="preserve"> cited Brexit and the impact of the uncertainty around visa requirements as a risk. Moreover, that institutions are becoming increasingly reliant on overseas fee income to contribute to the full economic costs of their teaching and research operations (for the benefit of all students) and to ensure that they can continue</w:t>
      </w:r>
      <w:r w:rsidR="00976F4D">
        <w:rPr>
          <w:rFonts w:ascii="Arial" w:eastAsia="Arial" w:hAnsi="Arial" w:cs="Arial"/>
        </w:rPr>
        <w:t xml:space="preserve"> to be financially sustainable.</w:t>
      </w:r>
      <w:r w:rsidR="00976F4D">
        <w:rPr>
          <w:rStyle w:val="FootnoteReference"/>
          <w:rFonts w:ascii="Arial" w:hAnsi="Arial" w:cs="Arial"/>
        </w:rPr>
        <w:footnoteReference w:id="4"/>
      </w:r>
      <w:r w:rsidR="001D2C64">
        <w:rPr>
          <w:rFonts w:ascii="Arial" w:eastAsia="Arial" w:hAnsi="Arial" w:cs="Arial"/>
        </w:rPr>
        <w:br/>
      </w:r>
    </w:p>
    <w:p w:rsidR="008D47BF" w:rsidRDefault="001D2C64" w:rsidP="001D2C64">
      <w:pPr>
        <w:numPr>
          <w:ilvl w:val="0"/>
          <w:numId w:val="4"/>
        </w:numPr>
        <w:spacing w:after="0" w:line="240" w:lineRule="auto"/>
        <w:ind w:left="-426" w:right="-520"/>
        <w:rPr>
          <w:rFonts w:ascii="Arial" w:eastAsia="Arial" w:hAnsi="Arial" w:cs="Arial"/>
        </w:rPr>
      </w:pPr>
      <w:r w:rsidRPr="001D2C64">
        <w:rPr>
          <w:rFonts w:ascii="Arial" w:eastAsia="Arial" w:hAnsi="Arial" w:cs="Arial"/>
        </w:rPr>
        <w:t>The Higher Education Policy Institute (HEPI) recently released a report indicating that that if the Home Office follows through on plans to place further restrictions on international students coming to the UK, the economy could lose almost £2 billion a year. This figure is comprised of £463 mill</w:t>
      </w:r>
      <w:r w:rsidR="00BD47AD">
        <w:rPr>
          <w:rFonts w:ascii="Arial" w:eastAsia="Arial" w:hAnsi="Arial" w:cs="Arial"/>
        </w:rPr>
        <w:t>ion</w:t>
      </w:r>
      <w:r w:rsidRPr="001D2C64">
        <w:rPr>
          <w:rFonts w:ascii="Arial" w:eastAsia="Arial" w:hAnsi="Arial" w:cs="Arial"/>
        </w:rPr>
        <w:t xml:space="preserve"> less per annum in tuition fees, £604 mill</w:t>
      </w:r>
      <w:r w:rsidR="00BD47AD">
        <w:rPr>
          <w:rFonts w:ascii="Arial" w:eastAsia="Arial" w:hAnsi="Arial" w:cs="Arial"/>
        </w:rPr>
        <w:t>ion</w:t>
      </w:r>
      <w:r w:rsidRPr="001D2C64">
        <w:rPr>
          <w:rFonts w:ascii="Arial" w:eastAsia="Arial" w:hAnsi="Arial" w:cs="Arial"/>
        </w:rPr>
        <w:t xml:space="preserve"> a year less in non-tuition fee expenditure, and £928 mill</w:t>
      </w:r>
      <w:r w:rsidR="00BD47AD">
        <w:rPr>
          <w:rFonts w:ascii="Arial" w:eastAsia="Arial" w:hAnsi="Arial" w:cs="Arial"/>
        </w:rPr>
        <w:t>ion</w:t>
      </w:r>
      <w:r w:rsidRPr="001D2C64">
        <w:rPr>
          <w:rFonts w:ascii="Arial" w:eastAsia="Arial" w:hAnsi="Arial" w:cs="Arial"/>
        </w:rPr>
        <w:t xml:space="preserve"> less a year from the detrimental impact on universities' supply chains. This loss would be additional to the billions of pounds that would be at risk from any big cut in the number of international visa</w:t>
      </w:r>
      <w:r>
        <w:rPr>
          <w:rFonts w:ascii="Arial" w:eastAsia="Arial" w:hAnsi="Arial" w:cs="Arial"/>
        </w:rPr>
        <w:t>s for students.</w:t>
      </w:r>
      <w:r>
        <w:rPr>
          <w:rStyle w:val="FootnoteReference"/>
          <w:rFonts w:ascii="Arial" w:eastAsia="Arial" w:hAnsi="Arial" w:cs="Arial"/>
        </w:rPr>
        <w:footnoteReference w:id="5"/>
      </w:r>
      <w:r w:rsidR="00BD47AD">
        <w:rPr>
          <w:rFonts w:ascii="Arial" w:eastAsia="Arial" w:hAnsi="Arial" w:cs="Arial"/>
        </w:rPr>
        <w:br/>
      </w:r>
    </w:p>
    <w:p w:rsidR="00BD47AD" w:rsidRDefault="00BD47AD" w:rsidP="001D2C64">
      <w:pPr>
        <w:numPr>
          <w:ilvl w:val="0"/>
          <w:numId w:val="4"/>
        </w:numPr>
        <w:spacing w:after="0" w:line="240" w:lineRule="auto"/>
        <w:ind w:left="-426" w:right="-520"/>
        <w:rPr>
          <w:rFonts w:ascii="Arial" w:eastAsia="Arial" w:hAnsi="Arial" w:cs="Arial"/>
        </w:rPr>
      </w:pPr>
      <w:r>
        <w:rPr>
          <w:rFonts w:ascii="Arial" w:eastAsia="Arial" w:hAnsi="Arial" w:cs="Arial"/>
        </w:rPr>
        <w:t>The same report also suggested that any changes as a result of Brexit will ultimately have a negative impact on smaller institutions, with only the oldest universities (such as Oxford and Cambridge) standing to gain financially.</w:t>
      </w:r>
      <w:r>
        <w:rPr>
          <w:rStyle w:val="FootnoteReference"/>
          <w:rFonts w:ascii="Arial" w:eastAsia="Arial" w:hAnsi="Arial" w:cs="Arial"/>
        </w:rPr>
        <w:footnoteReference w:id="6"/>
      </w:r>
    </w:p>
    <w:p w:rsidR="001D2C64" w:rsidRPr="001D2C64" w:rsidRDefault="001D2C64" w:rsidP="001D2C64">
      <w:pPr>
        <w:spacing w:after="0" w:line="240" w:lineRule="auto"/>
        <w:ind w:right="-520"/>
        <w:rPr>
          <w:rFonts w:ascii="Arial" w:eastAsia="Arial" w:hAnsi="Arial" w:cs="Arial"/>
        </w:rPr>
      </w:pPr>
    </w:p>
    <w:p w:rsidR="0076634E" w:rsidRDefault="008D47BF" w:rsidP="00D95A43">
      <w:pPr>
        <w:numPr>
          <w:ilvl w:val="0"/>
          <w:numId w:val="4"/>
        </w:numPr>
        <w:spacing w:after="0" w:line="240" w:lineRule="auto"/>
        <w:ind w:left="-426" w:right="-520"/>
        <w:rPr>
          <w:rFonts w:ascii="Arial" w:eastAsia="Arial" w:hAnsi="Arial" w:cs="Arial"/>
        </w:rPr>
      </w:pPr>
      <w:r w:rsidRPr="008D47BF">
        <w:rPr>
          <w:rFonts w:ascii="Arial" w:eastAsia="Arial" w:hAnsi="Arial" w:cs="Arial"/>
        </w:rPr>
        <w:t>For GuildHE members, the universities most at risk are our creative institutions. At Liverpool Institute of Performing Arts, international students make up around 20% of their population. At Royal Central School of Speech and Drama and University of the Creative Arts, they account for around 10% of their membership. In a new GuildHE report, it highlights that creative industries contribute £84.1bn to the UK economy, and the economic impact of creative focused institutions is £8.4bn each year.</w:t>
      </w:r>
      <w:r w:rsidR="00976F4D">
        <w:rPr>
          <w:rStyle w:val="FootnoteReference"/>
          <w:rFonts w:ascii="Arial" w:hAnsi="Arial" w:cs="Arial"/>
        </w:rPr>
        <w:footnoteReference w:id="7"/>
      </w:r>
      <w:r w:rsidR="00976F4D">
        <w:rPr>
          <w:rFonts w:ascii="Arial" w:eastAsia="Arial" w:hAnsi="Arial" w:cs="Arial"/>
        </w:rPr>
        <w:t xml:space="preserve"> </w:t>
      </w:r>
      <w:r w:rsidRPr="008D47BF">
        <w:rPr>
          <w:rFonts w:ascii="Arial" w:eastAsia="Arial" w:hAnsi="Arial" w:cs="Arial"/>
        </w:rPr>
        <w:t>Given the high numbers of international students at these institutions, if they were to los</w:t>
      </w:r>
      <w:r w:rsidR="00976F4D">
        <w:rPr>
          <w:rFonts w:ascii="Arial" w:eastAsia="Arial" w:hAnsi="Arial" w:cs="Arial"/>
        </w:rPr>
        <w:t>e their international student intake</w:t>
      </w:r>
      <w:r w:rsidRPr="008D47BF">
        <w:rPr>
          <w:rFonts w:ascii="Arial" w:eastAsia="Arial" w:hAnsi="Arial" w:cs="Arial"/>
        </w:rPr>
        <w:t xml:space="preserve"> this could lead to detrimental losses to their income and their abilities to contribute so highly to the UK economy.</w:t>
      </w:r>
    </w:p>
    <w:p w:rsidR="00A553A5" w:rsidRDefault="00A553A5" w:rsidP="00A553A5">
      <w:pPr>
        <w:pStyle w:val="ListParagraph"/>
        <w:rPr>
          <w:rFonts w:ascii="Arial" w:eastAsia="Arial" w:hAnsi="Arial" w:cs="Arial"/>
        </w:rPr>
      </w:pPr>
    </w:p>
    <w:p w:rsidR="00A553A5" w:rsidRPr="00A553A5" w:rsidRDefault="00A553A5" w:rsidP="00A553A5">
      <w:pPr>
        <w:spacing w:after="0" w:line="240" w:lineRule="auto"/>
        <w:ind w:left="-851" w:right="-520"/>
        <w:rPr>
          <w:rFonts w:ascii="Arial" w:eastAsia="Arial" w:hAnsi="Arial" w:cs="Arial"/>
          <w:b/>
          <w:color w:val="385623" w:themeColor="accent6" w:themeShade="80"/>
        </w:rPr>
      </w:pPr>
      <w:r w:rsidRPr="00A553A5">
        <w:rPr>
          <w:rFonts w:ascii="Arial" w:eastAsia="Arial" w:hAnsi="Arial" w:cs="Arial"/>
          <w:b/>
          <w:color w:val="385623" w:themeColor="accent6" w:themeShade="80"/>
        </w:rPr>
        <w:t>University Staff and Migration</w:t>
      </w:r>
    </w:p>
    <w:p w:rsidR="00A553A5" w:rsidRPr="00A553A5" w:rsidRDefault="00A553A5" w:rsidP="00A553A5">
      <w:pPr>
        <w:spacing w:after="0" w:line="240" w:lineRule="auto"/>
        <w:ind w:left="-426" w:right="-520"/>
        <w:rPr>
          <w:rFonts w:ascii="Arial" w:eastAsia="Arial" w:hAnsi="Arial" w:cs="Arial"/>
        </w:rPr>
      </w:pPr>
    </w:p>
    <w:p w:rsidR="00A553A5" w:rsidRPr="00A553A5" w:rsidRDefault="00A553A5" w:rsidP="00A553A5">
      <w:pPr>
        <w:numPr>
          <w:ilvl w:val="0"/>
          <w:numId w:val="4"/>
        </w:numPr>
        <w:spacing w:after="0" w:line="240" w:lineRule="auto"/>
        <w:ind w:left="-426" w:right="-520"/>
        <w:rPr>
          <w:rFonts w:ascii="Arial" w:eastAsia="Arial" w:hAnsi="Arial" w:cs="Arial"/>
        </w:rPr>
      </w:pPr>
      <w:r w:rsidRPr="00A553A5">
        <w:rPr>
          <w:rFonts w:ascii="Arial" w:eastAsia="Arial" w:hAnsi="Arial" w:cs="Arial"/>
        </w:rPr>
        <w:t xml:space="preserve">In order to maintain their outstanding global reputation, British universities must also ensure they are attracting the highest quality staff from all over the world. Much of the world-class teaching and research is delivered by international academics. Furthermore, many UK institutions are reliant on a proportion of overseas </w:t>
      </w:r>
      <w:r w:rsidR="0075368B">
        <w:rPr>
          <w:rFonts w:ascii="Arial" w:eastAsia="Arial" w:hAnsi="Arial" w:cs="Arial"/>
        </w:rPr>
        <w:t xml:space="preserve">technical </w:t>
      </w:r>
      <w:r w:rsidRPr="00A553A5">
        <w:rPr>
          <w:rFonts w:ascii="Arial" w:eastAsia="Arial" w:hAnsi="Arial" w:cs="Arial"/>
        </w:rPr>
        <w:t>staff to ensure that the operational aspects are fulfilled.</w:t>
      </w:r>
    </w:p>
    <w:p w:rsidR="00A553A5" w:rsidRPr="00A553A5" w:rsidRDefault="00A553A5" w:rsidP="00A553A5">
      <w:pPr>
        <w:spacing w:after="0" w:line="240" w:lineRule="auto"/>
        <w:ind w:left="-426" w:right="-520"/>
        <w:rPr>
          <w:rFonts w:ascii="Arial" w:eastAsia="Arial" w:hAnsi="Arial" w:cs="Arial"/>
        </w:rPr>
      </w:pPr>
    </w:p>
    <w:p w:rsidR="00A553A5" w:rsidRPr="00A553A5" w:rsidRDefault="00A553A5" w:rsidP="00A553A5">
      <w:pPr>
        <w:numPr>
          <w:ilvl w:val="0"/>
          <w:numId w:val="4"/>
        </w:numPr>
        <w:spacing w:after="0" w:line="240" w:lineRule="auto"/>
        <w:ind w:left="-426" w:right="-520"/>
        <w:rPr>
          <w:rFonts w:ascii="Arial" w:eastAsia="Arial" w:hAnsi="Arial" w:cs="Arial"/>
        </w:rPr>
      </w:pPr>
      <w:r w:rsidRPr="00A553A5">
        <w:rPr>
          <w:rFonts w:ascii="Arial" w:eastAsia="Arial" w:hAnsi="Arial" w:cs="Arial"/>
        </w:rPr>
        <w:t xml:space="preserve">In 2014-15, 31,120 non-EU staff were employed in UK universities, making a vital contribution to our world-leading research base. A further 43,015 EU staff were recorded as working in </w:t>
      </w:r>
      <w:r w:rsidR="00BD47AD">
        <w:rPr>
          <w:rFonts w:ascii="Arial" w:eastAsia="Arial" w:hAnsi="Arial" w:cs="Arial"/>
        </w:rPr>
        <w:t>higher education</w:t>
      </w:r>
      <w:r w:rsidRPr="00A553A5">
        <w:rPr>
          <w:rFonts w:ascii="Arial" w:eastAsia="Arial" w:hAnsi="Arial" w:cs="Arial"/>
        </w:rPr>
        <w:t>.</w:t>
      </w:r>
      <w:r>
        <w:rPr>
          <w:rStyle w:val="FootnoteReference"/>
          <w:rFonts w:ascii="Arial" w:hAnsi="Arial" w:cs="Arial"/>
        </w:rPr>
        <w:footnoteReference w:id="8"/>
      </w:r>
      <w:r>
        <w:rPr>
          <w:rFonts w:ascii="Arial" w:eastAsia="Arial" w:hAnsi="Arial" w:cs="Arial"/>
        </w:rPr>
        <w:t xml:space="preserve"> </w:t>
      </w:r>
      <w:r w:rsidRPr="00A553A5">
        <w:rPr>
          <w:rFonts w:ascii="Arial" w:eastAsia="Arial" w:hAnsi="Arial" w:cs="Arial"/>
        </w:rPr>
        <w:t xml:space="preserve">This is almost 20% of staff in the entire sector – a significant proportion. </w:t>
      </w:r>
      <w:r>
        <w:rPr>
          <w:rFonts w:ascii="Arial" w:eastAsia="Arial" w:hAnsi="Arial" w:cs="Arial"/>
        </w:rPr>
        <w:br/>
      </w:r>
    </w:p>
    <w:p w:rsidR="00A553A5" w:rsidRPr="00A553A5" w:rsidRDefault="00A553A5" w:rsidP="00A553A5">
      <w:pPr>
        <w:numPr>
          <w:ilvl w:val="0"/>
          <w:numId w:val="4"/>
        </w:numPr>
        <w:spacing w:after="0" w:line="240" w:lineRule="auto"/>
        <w:ind w:left="-426" w:right="-520"/>
        <w:rPr>
          <w:rFonts w:ascii="Arial" w:eastAsia="Arial" w:hAnsi="Arial" w:cs="Arial"/>
        </w:rPr>
      </w:pPr>
      <w:r w:rsidRPr="00A553A5">
        <w:rPr>
          <w:rFonts w:ascii="Arial" w:eastAsia="Arial" w:hAnsi="Arial" w:cs="Arial"/>
        </w:rPr>
        <w:t>The quality of teaching and research at universities depend</w:t>
      </w:r>
      <w:r w:rsidR="0075368B">
        <w:rPr>
          <w:rFonts w:ascii="Arial" w:eastAsia="Arial" w:hAnsi="Arial" w:cs="Arial"/>
        </w:rPr>
        <w:t>s on being able to recruit academics</w:t>
      </w:r>
      <w:r w:rsidRPr="00A553A5">
        <w:rPr>
          <w:rFonts w:ascii="Arial" w:eastAsia="Arial" w:hAnsi="Arial" w:cs="Arial"/>
        </w:rPr>
        <w:t xml:space="preserve"> who are specialists in their field, irrespective of nationality. Furthermore, expertise in a specific field takes many years to acquire – it is not possible to up-skill domestic workers simply and quickly. </w:t>
      </w:r>
    </w:p>
    <w:p w:rsidR="00A553A5" w:rsidRPr="00A553A5" w:rsidRDefault="00A553A5" w:rsidP="00A553A5">
      <w:pPr>
        <w:spacing w:after="0" w:line="240" w:lineRule="auto"/>
        <w:ind w:left="-426" w:right="-520"/>
        <w:rPr>
          <w:rFonts w:ascii="Arial" w:eastAsia="Arial" w:hAnsi="Arial" w:cs="Arial"/>
        </w:rPr>
      </w:pPr>
    </w:p>
    <w:p w:rsidR="00CF5981" w:rsidRPr="00BD47AD" w:rsidRDefault="00A553A5" w:rsidP="00CF5981">
      <w:pPr>
        <w:numPr>
          <w:ilvl w:val="0"/>
          <w:numId w:val="4"/>
        </w:numPr>
        <w:spacing w:after="0" w:line="240" w:lineRule="auto"/>
        <w:ind w:left="-426" w:right="-520"/>
        <w:rPr>
          <w:rFonts w:ascii="Arial" w:eastAsia="Arial" w:hAnsi="Arial" w:cs="Arial"/>
        </w:rPr>
      </w:pPr>
      <w:r w:rsidRPr="00BD47AD">
        <w:rPr>
          <w:rFonts w:ascii="Arial" w:eastAsia="Arial" w:hAnsi="Arial" w:cs="Arial"/>
        </w:rPr>
        <w:t>In order to maintain positions in global university rankings, universities must prove that they have a diverse and international community. For example, the QS</w:t>
      </w:r>
      <w:r w:rsidR="00BD47AD" w:rsidRPr="00BD47AD">
        <w:rPr>
          <w:rFonts w:ascii="Arial" w:eastAsia="Arial" w:hAnsi="Arial" w:cs="Arial"/>
        </w:rPr>
        <w:t xml:space="preserve"> survey</w:t>
      </w:r>
      <w:r w:rsidRPr="00BD47AD">
        <w:rPr>
          <w:rFonts w:ascii="Arial" w:eastAsia="Arial" w:hAnsi="Arial" w:cs="Arial"/>
        </w:rPr>
        <w:t xml:space="preserve"> takes into account international student population and international faculties. Immigration policy that does not welcome international students and staff to UK universities could put our institutions at risk of not </w:t>
      </w:r>
      <w:r w:rsidR="00BD47AD">
        <w:rPr>
          <w:rFonts w:ascii="Arial" w:eastAsia="Arial" w:hAnsi="Arial" w:cs="Arial"/>
        </w:rPr>
        <w:t>continuing to compete successfully in a global field.</w:t>
      </w:r>
    </w:p>
    <w:p w:rsidR="001D2C64" w:rsidRDefault="001D2C64" w:rsidP="00CF5981">
      <w:pPr>
        <w:spacing w:after="0" w:line="240" w:lineRule="auto"/>
        <w:ind w:left="-709" w:right="-520"/>
        <w:rPr>
          <w:rFonts w:ascii="Arial" w:eastAsia="Arial" w:hAnsi="Arial" w:cs="Arial"/>
          <w:b/>
          <w:color w:val="385623" w:themeColor="accent6" w:themeShade="80"/>
        </w:rPr>
      </w:pPr>
    </w:p>
    <w:p w:rsidR="001D2C64" w:rsidRDefault="001D2C64" w:rsidP="00CF5981">
      <w:pPr>
        <w:spacing w:after="0" w:line="240" w:lineRule="auto"/>
        <w:ind w:left="-709" w:right="-520"/>
        <w:rPr>
          <w:rFonts w:ascii="Arial" w:eastAsia="Arial" w:hAnsi="Arial" w:cs="Arial"/>
          <w:b/>
          <w:color w:val="385623" w:themeColor="accent6" w:themeShade="80"/>
        </w:rPr>
      </w:pPr>
    </w:p>
    <w:p w:rsidR="001D2C64" w:rsidRDefault="001D2C64" w:rsidP="00CF5981">
      <w:pPr>
        <w:spacing w:after="0" w:line="240" w:lineRule="auto"/>
        <w:ind w:left="-709" w:right="-520"/>
        <w:rPr>
          <w:rFonts w:ascii="Arial" w:eastAsia="Arial" w:hAnsi="Arial" w:cs="Arial"/>
          <w:b/>
          <w:color w:val="385623" w:themeColor="accent6" w:themeShade="80"/>
        </w:rPr>
      </w:pPr>
    </w:p>
    <w:p w:rsidR="00CF5981" w:rsidRPr="00CF5981" w:rsidRDefault="00CF5981" w:rsidP="00CF5981">
      <w:pPr>
        <w:spacing w:after="0" w:line="240" w:lineRule="auto"/>
        <w:ind w:left="-709" w:right="-520"/>
        <w:rPr>
          <w:rFonts w:ascii="Arial" w:eastAsia="Arial" w:hAnsi="Arial" w:cs="Arial"/>
          <w:b/>
          <w:color w:val="385623" w:themeColor="accent6" w:themeShade="80"/>
        </w:rPr>
      </w:pPr>
      <w:r w:rsidRPr="00CF5981">
        <w:rPr>
          <w:rFonts w:ascii="Arial" w:eastAsia="Arial" w:hAnsi="Arial" w:cs="Arial"/>
          <w:b/>
          <w:color w:val="385623" w:themeColor="accent6" w:themeShade="80"/>
        </w:rPr>
        <w:t>Migration and communities</w:t>
      </w:r>
    </w:p>
    <w:p w:rsidR="00CF5981" w:rsidRPr="00CF5981" w:rsidRDefault="00CF5981" w:rsidP="00CF5981">
      <w:pPr>
        <w:spacing w:after="0" w:line="240" w:lineRule="auto"/>
        <w:ind w:left="1920" w:right="-520"/>
        <w:rPr>
          <w:rFonts w:ascii="Arial" w:eastAsia="Arial" w:hAnsi="Arial" w:cs="Arial"/>
        </w:rPr>
      </w:pPr>
    </w:p>
    <w:p w:rsidR="00CF5981" w:rsidRPr="00CF5981" w:rsidRDefault="00CF5981" w:rsidP="00CF5981">
      <w:pPr>
        <w:numPr>
          <w:ilvl w:val="0"/>
          <w:numId w:val="4"/>
        </w:numPr>
        <w:spacing w:after="0" w:line="240" w:lineRule="auto"/>
        <w:ind w:left="-426" w:right="-520"/>
        <w:rPr>
          <w:rFonts w:ascii="Arial" w:eastAsia="Arial" w:hAnsi="Arial" w:cs="Arial"/>
        </w:rPr>
      </w:pPr>
      <w:r w:rsidRPr="00CF5981">
        <w:rPr>
          <w:rFonts w:ascii="Arial" w:eastAsia="Arial" w:hAnsi="Arial" w:cs="Arial"/>
        </w:rPr>
        <w:t>Universities play a large role in fostering and developing international communities on their campuses. This</w:t>
      </w:r>
      <w:r w:rsidR="001D2C64">
        <w:rPr>
          <w:rFonts w:ascii="Arial" w:eastAsia="Arial" w:hAnsi="Arial" w:cs="Arial"/>
        </w:rPr>
        <w:t>, coupled with student opportunities to go abroad (such as Erasmus +),</w:t>
      </w:r>
      <w:r w:rsidRPr="00CF5981">
        <w:rPr>
          <w:rFonts w:ascii="Arial" w:eastAsia="Arial" w:hAnsi="Arial" w:cs="Arial"/>
        </w:rPr>
        <w:t xml:space="preserve"> leads to</w:t>
      </w:r>
      <w:r w:rsidR="001D2C64">
        <w:rPr>
          <w:rFonts w:ascii="Arial" w:eastAsia="Arial" w:hAnsi="Arial" w:cs="Arial"/>
        </w:rPr>
        <w:t xml:space="preserve"> a</w:t>
      </w:r>
      <w:r w:rsidRPr="00CF5981">
        <w:rPr>
          <w:rFonts w:ascii="Arial" w:eastAsia="Arial" w:hAnsi="Arial" w:cs="Arial"/>
        </w:rPr>
        <w:t xml:space="preserve"> greater </w:t>
      </w:r>
      <w:r w:rsidR="001D2C64">
        <w:rPr>
          <w:rFonts w:ascii="Arial" w:eastAsia="Arial" w:hAnsi="Arial" w:cs="Arial"/>
        </w:rPr>
        <w:t>understanding of different races and cultures</w:t>
      </w:r>
      <w:r w:rsidR="00D441FC">
        <w:rPr>
          <w:rFonts w:ascii="Arial" w:eastAsia="Arial" w:hAnsi="Arial" w:cs="Arial"/>
        </w:rPr>
        <w:t xml:space="preserve"> amongst those who attend university</w:t>
      </w:r>
      <w:r w:rsidR="001D2C64">
        <w:rPr>
          <w:rFonts w:ascii="Arial" w:eastAsia="Arial" w:hAnsi="Arial" w:cs="Arial"/>
        </w:rPr>
        <w:t>.</w:t>
      </w:r>
    </w:p>
    <w:p w:rsidR="00CF5981" w:rsidRPr="00CF5981" w:rsidRDefault="00CF5981" w:rsidP="00CF5981">
      <w:pPr>
        <w:spacing w:after="0" w:line="240" w:lineRule="auto"/>
        <w:ind w:left="-426" w:right="-520"/>
        <w:rPr>
          <w:rFonts w:ascii="Arial" w:eastAsia="Arial" w:hAnsi="Arial" w:cs="Arial"/>
        </w:rPr>
      </w:pPr>
    </w:p>
    <w:p w:rsidR="00CF5981" w:rsidRDefault="00CF5981" w:rsidP="00CF5981">
      <w:pPr>
        <w:numPr>
          <w:ilvl w:val="0"/>
          <w:numId w:val="4"/>
        </w:numPr>
        <w:spacing w:after="0" w:line="240" w:lineRule="auto"/>
        <w:ind w:left="-426" w:right="-520"/>
        <w:rPr>
          <w:rFonts w:ascii="Arial" w:eastAsia="Arial" w:hAnsi="Arial" w:cs="Arial"/>
        </w:rPr>
      </w:pPr>
      <w:r w:rsidRPr="00CF5981">
        <w:rPr>
          <w:rFonts w:ascii="Arial" w:eastAsia="Arial" w:hAnsi="Arial" w:cs="Arial"/>
        </w:rPr>
        <w:t>Universities in areas of little migration are likely to bring greater diversity to their local communities. International students are likely to bring tourism (visiting friends and family), and a positive impact of the economy.</w:t>
      </w:r>
      <w:r w:rsidR="0075368B">
        <w:rPr>
          <w:rFonts w:ascii="Arial" w:eastAsia="Arial" w:hAnsi="Arial" w:cs="Arial"/>
        </w:rPr>
        <w:t xml:space="preserve"> </w:t>
      </w:r>
    </w:p>
    <w:p w:rsidR="00CF5981" w:rsidRDefault="00CF5981" w:rsidP="00CF5981">
      <w:pPr>
        <w:pStyle w:val="ListParagraph"/>
        <w:rPr>
          <w:rFonts w:ascii="Arial" w:eastAsia="Arial" w:hAnsi="Arial" w:cs="Arial"/>
        </w:rPr>
      </w:pPr>
    </w:p>
    <w:p w:rsidR="00CF5981" w:rsidRPr="00CF5981" w:rsidRDefault="00CF5981" w:rsidP="00CF5981">
      <w:pPr>
        <w:spacing w:after="0" w:line="240" w:lineRule="auto"/>
        <w:ind w:left="-851" w:right="-520"/>
        <w:rPr>
          <w:rFonts w:ascii="Arial" w:eastAsia="Arial" w:hAnsi="Arial" w:cs="Arial"/>
          <w:b/>
          <w:color w:val="385623" w:themeColor="accent6" w:themeShade="80"/>
        </w:rPr>
      </w:pPr>
      <w:r w:rsidRPr="00CF5981">
        <w:rPr>
          <w:rFonts w:ascii="Arial" w:eastAsia="Arial" w:hAnsi="Arial" w:cs="Arial"/>
          <w:b/>
          <w:color w:val="385623" w:themeColor="accent6" w:themeShade="80"/>
        </w:rPr>
        <w:t>Recommendations to the Committee</w:t>
      </w:r>
    </w:p>
    <w:p w:rsidR="00CF5981" w:rsidRPr="00CF5981" w:rsidRDefault="00CF5981" w:rsidP="00CF5981">
      <w:pPr>
        <w:spacing w:after="0" w:line="240" w:lineRule="auto"/>
        <w:ind w:left="-426" w:right="-520"/>
        <w:rPr>
          <w:rFonts w:ascii="Arial" w:eastAsia="Arial" w:hAnsi="Arial" w:cs="Arial"/>
        </w:rPr>
      </w:pPr>
    </w:p>
    <w:p w:rsidR="00CF5981" w:rsidRPr="00CF5981" w:rsidRDefault="00CF5981" w:rsidP="00CF5981">
      <w:pPr>
        <w:numPr>
          <w:ilvl w:val="0"/>
          <w:numId w:val="4"/>
        </w:numPr>
        <w:spacing w:after="0" w:line="240" w:lineRule="auto"/>
        <w:ind w:left="-426" w:right="-520"/>
        <w:rPr>
          <w:rFonts w:ascii="Arial" w:eastAsia="Arial" w:hAnsi="Arial" w:cs="Arial"/>
        </w:rPr>
      </w:pPr>
      <w:r w:rsidRPr="00CF5981">
        <w:rPr>
          <w:rFonts w:ascii="Arial" w:eastAsia="Arial" w:hAnsi="Arial" w:cs="Arial"/>
        </w:rPr>
        <w:t>The immigration system should not be complex or difficult for students or staff to navigate or for organisations to administer.</w:t>
      </w:r>
    </w:p>
    <w:p w:rsidR="00CF5981" w:rsidRPr="00CF5981" w:rsidRDefault="00CF5981" w:rsidP="00CF5981">
      <w:pPr>
        <w:spacing w:after="0" w:line="240" w:lineRule="auto"/>
        <w:ind w:left="-426" w:right="-520"/>
        <w:rPr>
          <w:rFonts w:ascii="Arial" w:eastAsia="Arial" w:hAnsi="Arial" w:cs="Arial"/>
        </w:rPr>
      </w:pPr>
    </w:p>
    <w:p w:rsidR="00CF5981" w:rsidRPr="00CF5981" w:rsidRDefault="007A711B" w:rsidP="00CF5981">
      <w:pPr>
        <w:numPr>
          <w:ilvl w:val="0"/>
          <w:numId w:val="4"/>
        </w:numPr>
        <w:spacing w:after="0" w:line="240" w:lineRule="auto"/>
        <w:ind w:left="-426" w:right="-520"/>
        <w:rPr>
          <w:rFonts w:ascii="Arial" w:eastAsia="Arial" w:hAnsi="Arial" w:cs="Arial"/>
        </w:rPr>
      </w:pPr>
      <w:r>
        <w:rPr>
          <w:rFonts w:ascii="Arial" w:eastAsia="Arial" w:hAnsi="Arial" w:cs="Arial"/>
        </w:rPr>
        <w:t xml:space="preserve">There is no evidence-based </w:t>
      </w:r>
      <w:r w:rsidR="00CF5981" w:rsidRPr="00CF5981">
        <w:rPr>
          <w:rFonts w:ascii="Arial" w:eastAsia="Arial" w:hAnsi="Arial" w:cs="Arial"/>
        </w:rPr>
        <w:t>case to consider students as migrants, and all those genuinely entering the UK to study should be warmly welcomed.</w:t>
      </w:r>
    </w:p>
    <w:p w:rsidR="00CF5981" w:rsidRPr="00CF5981" w:rsidRDefault="00CF5981" w:rsidP="00CF5981">
      <w:pPr>
        <w:spacing w:after="0" w:line="240" w:lineRule="auto"/>
        <w:ind w:left="-426" w:right="-520"/>
        <w:rPr>
          <w:rFonts w:ascii="Arial" w:eastAsia="Arial" w:hAnsi="Arial" w:cs="Arial"/>
        </w:rPr>
      </w:pPr>
    </w:p>
    <w:p w:rsidR="001D2C64" w:rsidRPr="00BD47AD" w:rsidRDefault="00CF5981" w:rsidP="00BD47AD">
      <w:pPr>
        <w:numPr>
          <w:ilvl w:val="0"/>
          <w:numId w:val="4"/>
        </w:numPr>
        <w:spacing w:after="0" w:line="240" w:lineRule="auto"/>
        <w:ind w:left="-426" w:right="-520"/>
        <w:rPr>
          <w:rFonts w:ascii="Arial" w:eastAsia="Arial" w:hAnsi="Arial" w:cs="Arial"/>
        </w:rPr>
      </w:pPr>
      <w:r w:rsidRPr="00CF5981">
        <w:rPr>
          <w:rFonts w:ascii="Arial" w:eastAsia="Arial" w:hAnsi="Arial" w:cs="Arial"/>
        </w:rPr>
        <w:t>In order to remain world-leading in higher edu</w:t>
      </w:r>
      <w:r w:rsidR="001D2C64">
        <w:rPr>
          <w:rFonts w:ascii="Arial" w:eastAsia="Arial" w:hAnsi="Arial" w:cs="Arial"/>
        </w:rPr>
        <w:t xml:space="preserve">cation, the UK must continue to fund the </w:t>
      </w:r>
      <w:r w:rsidRPr="00CF5981">
        <w:rPr>
          <w:rFonts w:ascii="Arial" w:eastAsia="Arial" w:hAnsi="Arial" w:cs="Arial"/>
        </w:rPr>
        <w:t>recruit</w:t>
      </w:r>
      <w:r w:rsidR="001D2C64">
        <w:rPr>
          <w:rFonts w:ascii="Arial" w:eastAsia="Arial" w:hAnsi="Arial" w:cs="Arial"/>
        </w:rPr>
        <w:t>ment</w:t>
      </w:r>
      <w:r w:rsidRPr="00CF5981">
        <w:rPr>
          <w:rFonts w:ascii="Arial" w:eastAsia="Arial" w:hAnsi="Arial" w:cs="Arial"/>
        </w:rPr>
        <w:t xml:space="preserve"> </w:t>
      </w:r>
      <w:r w:rsidR="001D2C64">
        <w:rPr>
          <w:rFonts w:ascii="Arial" w:eastAsia="Arial" w:hAnsi="Arial" w:cs="Arial"/>
        </w:rPr>
        <w:t xml:space="preserve">of </w:t>
      </w:r>
      <w:r w:rsidRPr="00CF5981">
        <w:rPr>
          <w:rFonts w:ascii="Arial" w:eastAsia="Arial" w:hAnsi="Arial" w:cs="Arial"/>
        </w:rPr>
        <w:t>interna</w:t>
      </w:r>
      <w:r w:rsidR="003B490F">
        <w:rPr>
          <w:rFonts w:ascii="Arial" w:eastAsia="Arial" w:hAnsi="Arial" w:cs="Arial"/>
        </w:rPr>
        <w:t xml:space="preserve">tional academics and technical </w:t>
      </w:r>
      <w:r w:rsidRPr="00CF5981">
        <w:rPr>
          <w:rFonts w:ascii="Arial" w:eastAsia="Arial" w:hAnsi="Arial" w:cs="Arial"/>
        </w:rPr>
        <w:t>staff.</w:t>
      </w:r>
      <w:r w:rsidR="00BD47AD">
        <w:rPr>
          <w:rFonts w:ascii="Arial" w:eastAsia="Arial" w:hAnsi="Arial" w:cs="Arial"/>
        </w:rPr>
        <w:br/>
      </w:r>
    </w:p>
    <w:p w:rsidR="007A711B" w:rsidRDefault="001D2C64" w:rsidP="007A711B">
      <w:pPr>
        <w:numPr>
          <w:ilvl w:val="0"/>
          <w:numId w:val="4"/>
        </w:numPr>
        <w:spacing w:after="0" w:line="240" w:lineRule="auto"/>
        <w:ind w:left="-426" w:right="-520"/>
        <w:rPr>
          <w:rFonts w:ascii="Arial" w:eastAsia="Arial" w:hAnsi="Arial" w:cs="Arial"/>
        </w:rPr>
      </w:pPr>
      <w:r>
        <w:rPr>
          <w:rFonts w:ascii="Arial" w:eastAsia="Arial" w:hAnsi="Arial" w:cs="Arial"/>
        </w:rPr>
        <w:t>That the committee communicates the economic benefits of international students and university staff to government, an</w:t>
      </w:r>
      <w:r w:rsidR="007A711B">
        <w:rPr>
          <w:rFonts w:ascii="Arial" w:eastAsia="Arial" w:hAnsi="Arial" w:cs="Arial"/>
        </w:rPr>
        <w:t xml:space="preserve">d the £2bn loss that could be </w:t>
      </w:r>
      <w:r>
        <w:rPr>
          <w:rFonts w:ascii="Arial" w:eastAsia="Arial" w:hAnsi="Arial" w:cs="Arial"/>
        </w:rPr>
        <w:t>accrued as a result of tighter controls.</w:t>
      </w:r>
    </w:p>
    <w:p w:rsidR="007A711B" w:rsidRDefault="007A711B" w:rsidP="007A711B">
      <w:pPr>
        <w:spacing w:after="0" w:line="240" w:lineRule="auto"/>
        <w:ind w:right="-520"/>
        <w:rPr>
          <w:rFonts w:ascii="Arial" w:eastAsia="Arial" w:hAnsi="Arial" w:cs="Arial"/>
        </w:rPr>
      </w:pPr>
    </w:p>
    <w:p w:rsidR="007A711B" w:rsidRDefault="007A711B" w:rsidP="007A711B">
      <w:pPr>
        <w:spacing w:after="0" w:line="240" w:lineRule="auto"/>
        <w:ind w:right="-520"/>
        <w:rPr>
          <w:rFonts w:ascii="Arial" w:eastAsia="Arial" w:hAnsi="Arial" w:cs="Arial"/>
        </w:rPr>
      </w:pPr>
    </w:p>
    <w:p w:rsidR="007A711B" w:rsidRDefault="007A711B" w:rsidP="007A711B">
      <w:pPr>
        <w:spacing w:after="0" w:line="240" w:lineRule="auto"/>
        <w:ind w:right="-520"/>
        <w:rPr>
          <w:rFonts w:ascii="Arial" w:eastAsia="Arial" w:hAnsi="Arial" w:cs="Arial"/>
        </w:rPr>
      </w:pPr>
    </w:p>
    <w:p w:rsidR="007A711B" w:rsidRPr="007A711B" w:rsidRDefault="007A711B" w:rsidP="007A711B">
      <w:pPr>
        <w:spacing w:after="0" w:line="240" w:lineRule="auto"/>
        <w:ind w:right="-520"/>
        <w:rPr>
          <w:rFonts w:ascii="Arial" w:eastAsia="Arial" w:hAnsi="Arial" w:cs="Arial"/>
          <w:b/>
        </w:rPr>
      </w:pPr>
    </w:p>
    <w:p w:rsidR="007A711B" w:rsidRDefault="007A711B" w:rsidP="007A711B">
      <w:pPr>
        <w:spacing w:after="0" w:line="240" w:lineRule="auto"/>
        <w:ind w:left="-851" w:right="-520"/>
        <w:jc w:val="right"/>
        <w:rPr>
          <w:rFonts w:ascii="Arial" w:eastAsia="Arial" w:hAnsi="Arial" w:cs="Arial"/>
          <w:b/>
          <w:color w:val="385623" w:themeColor="accent6" w:themeShade="80"/>
        </w:rPr>
      </w:pPr>
    </w:p>
    <w:p w:rsidR="007A711B" w:rsidRDefault="007A711B" w:rsidP="007A711B">
      <w:pPr>
        <w:spacing w:after="0" w:line="240" w:lineRule="auto"/>
        <w:ind w:left="-851" w:right="-520"/>
        <w:jc w:val="right"/>
        <w:rPr>
          <w:rFonts w:ascii="Arial" w:eastAsia="Arial" w:hAnsi="Arial" w:cs="Arial"/>
          <w:b/>
          <w:color w:val="385623" w:themeColor="accent6" w:themeShade="80"/>
        </w:rPr>
      </w:pPr>
    </w:p>
    <w:p w:rsidR="007A711B" w:rsidRDefault="007A711B" w:rsidP="007A711B">
      <w:pPr>
        <w:spacing w:after="0" w:line="240" w:lineRule="auto"/>
        <w:ind w:left="-851" w:right="-520"/>
        <w:jc w:val="right"/>
        <w:rPr>
          <w:rFonts w:ascii="Arial" w:eastAsia="Arial" w:hAnsi="Arial" w:cs="Arial"/>
          <w:b/>
          <w:color w:val="385623" w:themeColor="accent6" w:themeShade="80"/>
        </w:rPr>
      </w:pPr>
    </w:p>
    <w:p w:rsidR="007A711B" w:rsidRDefault="007A711B" w:rsidP="007A711B">
      <w:pPr>
        <w:spacing w:after="0" w:line="240" w:lineRule="auto"/>
        <w:ind w:left="-851" w:right="-520"/>
        <w:jc w:val="right"/>
        <w:rPr>
          <w:rFonts w:ascii="Arial" w:eastAsia="Arial" w:hAnsi="Arial" w:cs="Arial"/>
          <w:b/>
          <w:color w:val="385623" w:themeColor="accent6" w:themeShade="80"/>
        </w:rPr>
      </w:pPr>
    </w:p>
    <w:p w:rsidR="007A711B" w:rsidRDefault="007A711B" w:rsidP="007A711B">
      <w:pPr>
        <w:spacing w:after="0" w:line="240" w:lineRule="auto"/>
        <w:ind w:left="-851" w:right="-520"/>
        <w:jc w:val="right"/>
        <w:rPr>
          <w:rFonts w:ascii="Arial" w:eastAsia="Arial" w:hAnsi="Arial" w:cs="Arial"/>
          <w:b/>
          <w:color w:val="385623" w:themeColor="accent6" w:themeShade="80"/>
        </w:rPr>
      </w:pPr>
    </w:p>
    <w:p w:rsidR="007A711B" w:rsidRDefault="007A711B" w:rsidP="007A711B">
      <w:pPr>
        <w:spacing w:after="0" w:line="240" w:lineRule="auto"/>
        <w:ind w:left="-851" w:right="-520"/>
        <w:jc w:val="right"/>
        <w:rPr>
          <w:rFonts w:ascii="Arial" w:eastAsia="Arial" w:hAnsi="Arial" w:cs="Arial"/>
          <w:b/>
          <w:color w:val="385623" w:themeColor="accent6" w:themeShade="80"/>
        </w:rPr>
      </w:pPr>
    </w:p>
    <w:p w:rsidR="007A711B" w:rsidRDefault="007A711B" w:rsidP="007A711B">
      <w:pPr>
        <w:spacing w:after="0" w:line="240" w:lineRule="auto"/>
        <w:ind w:left="-851" w:right="-520"/>
        <w:jc w:val="right"/>
        <w:rPr>
          <w:rFonts w:ascii="Arial" w:eastAsia="Arial" w:hAnsi="Arial" w:cs="Arial"/>
          <w:b/>
          <w:color w:val="385623" w:themeColor="accent6" w:themeShade="80"/>
        </w:rPr>
      </w:pPr>
    </w:p>
    <w:p w:rsidR="007A711B" w:rsidRDefault="007A711B" w:rsidP="007A711B">
      <w:pPr>
        <w:spacing w:after="0" w:line="240" w:lineRule="auto"/>
        <w:ind w:left="-851" w:right="-520"/>
        <w:jc w:val="right"/>
        <w:rPr>
          <w:rFonts w:ascii="Arial" w:eastAsia="Arial" w:hAnsi="Arial" w:cs="Arial"/>
          <w:b/>
          <w:color w:val="385623" w:themeColor="accent6" w:themeShade="80"/>
        </w:rPr>
      </w:pPr>
    </w:p>
    <w:p w:rsidR="00A553A5" w:rsidRPr="007A711B" w:rsidRDefault="007A711B" w:rsidP="007A711B">
      <w:pPr>
        <w:spacing w:after="0" w:line="240" w:lineRule="auto"/>
        <w:ind w:left="-851" w:right="-520"/>
        <w:jc w:val="right"/>
        <w:rPr>
          <w:rFonts w:ascii="Arial" w:eastAsia="Arial" w:hAnsi="Arial" w:cs="Arial"/>
        </w:rPr>
      </w:pPr>
      <w:r w:rsidRPr="007A711B">
        <w:rPr>
          <w:rFonts w:ascii="Arial" w:eastAsia="Arial" w:hAnsi="Arial" w:cs="Arial"/>
          <w:b/>
          <w:color w:val="385623" w:themeColor="accent6" w:themeShade="80"/>
        </w:rPr>
        <w:t>Cat Turhan</w:t>
      </w:r>
      <w:r w:rsidRPr="007A711B">
        <w:rPr>
          <w:rFonts w:ascii="Arial" w:eastAsia="Arial" w:hAnsi="Arial" w:cs="Arial"/>
          <w:b/>
        </w:rPr>
        <w:br/>
      </w:r>
      <w:r w:rsidRPr="007A711B">
        <w:rPr>
          <w:rFonts w:ascii="Arial" w:eastAsia="Arial" w:hAnsi="Arial" w:cs="Arial"/>
        </w:rPr>
        <w:t>Policy Officer</w:t>
      </w:r>
      <w:r w:rsidRPr="007A711B">
        <w:rPr>
          <w:rFonts w:ascii="Arial" w:eastAsia="Arial" w:hAnsi="Arial" w:cs="Arial"/>
        </w:rPr>
        <w:br/>
      </w:r>
      <w:hyperlink r:id="rId9" w:history="1">
        <w:r w:rsidRPr="007A711B">
          <w:rPr>
            <w:rStyle w:val="Hyperlink"/>
            <w:rFonts w:ascii="Arial" w:eastAsia="Arial" w:hAnsi="Arial" w:cs="Arial"/>
          </w:rPr>
          <w:t>cat.turhan@guildhe.ac.uk</w:t>
        </w:r>
      </w:hyperlink>
      <w:r w:rsidRPr="007A711B">
        <w:rPr>
          <w:rFonts w:ascii="Arial" w:eastAsia="Arial" w:hAnsi="Arial" w:cs="Arial"/>
          <w:b/>
        </w:rPr>
        <w:br/>
      </w:r>
      <w:r w:rsidRPr="007A711B">
        <w:rPr>
          <w:rFonts w:ascii="Arial" w:eastAsia="Arial" w:hAnsi="Arial" w:cs="Arial"/>
          <w:b/>
        </w:rPr>
        <w:br/>
      </w:r>
      <w:r w:rsidRPr="007A711B">
        <w:rPr>
          <w:rFonts w:ascii="Arial" w:eastAsia="Arial" w:hAnsi="Arial" w:cs="Arial"/>
          <w:b/>
          <w:color w:val="385623" w:themeColor="accent6" w:themeShade="80"/>
        </w:rPr>
        <w:t xml:space="preserve">Matthew Guest </w:t>
      </w:r>
      <w:r w:rsidRPr="007A711B">
        <w:rPr>
          <w:rFonts w:ascii="Arial" w:eastAsia="Arial" w:hAnsi="Arial" w:cs="Arial"/>
          <w:b/>
        </w:rPr>
        <w:br/>
      </w:r>
      <w:r w:rsidRPr="007A711B">
        <w:rPr>
          <w:rFonts w:ascii="Arial" w:eastAsia="Arial" w:hAnsi="Arial" w:cs="Arial"/>
        </w:rPr>
        <w:t>Senior Policy Advisor (Research and Innovation)</w:t>
      </w:r>
      <w:r w:rsidRPr="007A711B">
        <w:rPr>
          <w:rFonts w:ascii="Arial" w:eastAsia="Arial" w:hAnsi="Arial" w:cs="Arial"/>
          <w:b/>
        </w:rPr>
        <w:t xml:space="preserve"> </w:t>
      </w:r>
      <w:r w:rsidRPr="007A711B">
        <w:rPr>
          <w:rFonts w:ascii="Arial" w:eastAsia="Arial" w:hAnsi="Arial" w:cs="Arial"/>
          <w:b/>
        </w:rPr>
        <w:br/>
      </w:r>
      <w:r w:rsidRPr="007A711B">
        <w:rPr>
          <w:rFonts w:ascii="Arial" w:eastAsia="Arial" w:hAnsi="Arial" w:cs="Arial"/>
          <w:b/>
        </w:rPr>
        <w:br/>
      </w:r>
      <w:r w:rsidRPr="007A711B">
        <w:rPr>
          <w:rFonts w:ascii="Arial" w:eastAsia="Arial" w:hAnsi="Arial" w:cs="Arial"/>
        </w:rPr>
        <w:br/>
      </w:r>
      <w:r w:rsidRPr="007A711B">
        <w:rPr>
          <w:rFonts w:ascii="Arial" w:eastAsia="Arial" w:hAnsi="Arial" w:cs="Arial"/>
          <w:b/>
        </w:rPr>
        <w:t>January 2017.</w:t>
      </w:r>
      <w:r w:rsidRPr="007A711B">
        <w:rPr>
          <w:rFonts w:ascii="Arial" w:eastAsia="Arial" w:hAnsi="Arial" w:cs="Arial"/>
        </w:rPr>
        <w:br/>
      </w:r>
      <w:r w:rsidRPr="007A711B">
        <w:rPr>
          <w:rFonts w:ascii="Arial" w:eastAsia="Arial" w:hAnsi="Arial" w:cs="Arial"/>
        </w:rPr>
        <w:br/>
      </w:r>
      <w:r w:rsidRPr="007A711B">
        <w:rPr>
          <w:rFonts w:ascii="Arial" w:eastAsia="Arial" w:hAnsi="Arial" w:cs="Arial"/>
        </w:rPr>
        <w:br/>
      </w:r>
      <w:r w:rsidRPr="007A711B">
        <w:rPr>
          <w:rFonts w:ascii="Arial" w:eastAsia="Arial" w:hAnsi="Arial" w:cs="Arial"/>
        </w:rPr>
        <w:br/>
      </w:r>
      <w:r w:rsidRPr="007A711B">
        <w:rPr>
          <w:rFonts w:ascii="Arial" w:eastAsia="Arial" w:hAnsi="Arial" w:cs="Arial"/>
        </w:rPr>
        <w:br/>
      </w:r>
      <w:r w:rsidRPr="007A711B">
        <w:rPr>
          <w:rFonts w:ascii="Arial" w:eastAsia="Arial" w:hAnsi="Arial" w:cs="Arial"/>
        </w:rPr>
        <w:br/>
      </w:r>
      <w:r w:rsidR="00A553A5" w:rsidRPr="007A711B">
        <w:rPr>
          <w:rFonts w:ascii="Arial" w:eastAsia="Arial" w:hAnsi="Arial" w:cs="Arial"/>
        </w:rPr>
        <w:br/>
      </w:r>
      <w:r w:rsidR="00A553A5" w:rsidRPr="007A711B">
        <w:rPr>
          <w:rFonts w:ascii="Arial" w:eastAsia="Arial" w:hAnsi="Arial" w:cs="Arial"/>
        </w:rPr>
        <w:br/>
      </w:r>
    </w:p>
    <w:p w:rsidR="00C476B7" w:rsidRDefault="00C476B7" w:rsidP="00CF5981">
      <w:pPr>
        <w:ind w:left="-426"/>
      </w:pPr>
    </w:p>
    <w:sectPr w:rsidR="00C476B7" w:rsidSect="00BD47AD">
      <w:footerReference w:type="default" r:id="rId10"/>
      <w:headerReference w:type="first" r:id="rId11"/>
      <w:footerReference w:type="first" r:id="rId12"/>
      <w:pgSz w:w="11909" w:h="16834"/>
      <w:pgMar w:top="142" w:right="1559" w:bottom="284" w:left="1656" w:header="720" w:footer="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85" w:rsidRDefault="004E5A85">
      <w:pPr>
        <w:spacing w:after="0" w:line="240" w:lineRule="auto"/>
      </w:pPr>
      <w:r>
        <w:separator/>
      </w:r>
    </w:p>
  </w:endnote>
  <w:endnote w:type="continuationSeparator" w:id="0">
    <w:p w:rsidR="004E5A85" w:rsidRDefault="004E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re Baskervill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16584"/>
      <w:docPartObj>
        <w:docPartGallery w:val="Page Numbers (Bottom of Page)"/>
        <w:docPartUnique/>
      </w:docPartObj>
    </w:sdtPr>
    <w:sdtEndPr>
      <w:rPr>
        <w:rFonts w:ascii="Arial" w:hAnsi="Arial" w:cs="Arial"/>
        <w:noProof/>
        <w:sz w:val="20"/>
        <w:szCs w:val="20"/>
      </w:rPr>
    </w:sdtEndPr>
    <w:sdtContent>
      <w:p w:rsidR="009F2778" w:rsidRPr="00BD47AD" w:rsidRDefault="009F2778" w:rsidP="00BD47AD">
        <w:pPr>
          <w:pStyle w:val="Footer"/>
          <w:ind w:left="-1418"/>
          <w:rPr>
            <w:rFonts w:ascii="Arial" w:hAnsi="Arial" w:cs="Arial"/>
            <w:sz w:val="20"/>
            <w:szCs w:val="20"/>
          </w:rPr>
        </w:pPr>
        <w:r w:rsidRPr="00BD47AD">
          <w:rPr>
            <w:rFonts w:ascii="Arial" w:hAnsi="Arial" w:cs="Arial"/>
            <w:sz w:val="20"/>
            <w:szCs w:val="20"/>
          </w:rPr>
          <w:fldChar w:fldCharType="begin"/>
        </w:r>
        <w:r w:rsidRPr="00BD47AD">
          <w:rPr>
            <w:rFonts w:ascii="Arial" w:hAnsi="Arial" w:cs="Arial"/>
            <w:sz w:val="20"/>
            <w:szCs w:val="20"/>
          </w:rPr>
          <w:instrText xml:space="preserve"> PAGE   \* MERGEFORMAT </w:instrText>
        </w:r>
        <w:r w:rsidRPr="00BD47AD">
          <w:rPr>
            <w:rFonts w:ascii="Arial" w:hAnsi="Arial" w:cs="Arial"/>
            <w:sz w:val="20"/>
            <w:szCs w:val="20"/>
          </w:rPr>
          <w:fldChar w:fldCharType="separate"/>
        </w:r>
        <w:r w:rsidR="00FA0253">
          <w:rPr>
            <w:rFonts w:ascii="Arial" w:hAnsi="Arial" w:cs="Arial"/>
            <w:noProof/>
            <w:sz w:val="20"/>
            <w:szCs w:val="20"/>
          </w:rPr>
          <w:t>3</w:t>
        </w:r>
        <w:r w:rsidRPr="00BD47AD">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78" w:rsidRDefault="009F2778" w:rsidP="003B0CA2">
    <w:pPr>
      <w:spacing w:after="720"/>
      <w:ind w:left="-851"/>
    </w:pPr>
    <w:r>
      <w:rPr>
        <w:rFonts w:ascii="Arial" w:eastAsia="Arial" w:hAnsi="Arial" w:cs="Arial"/>
        <w:sz w:val="16"/>
        <w:szCs w:val="16"/>
      </w:rPr>
      <w:t>© GuildHE (This information may be freely used and copied for non-commercial purposes, provided that the source is acknowledged.)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85" w:rsidRDefault="004E5A85">
      <w:pPr>
        <w:spacing w:after="0" w:line="240" w:lineRule="auto"/>
      </w:pPr>
      <w:r>
        <w:separator/>
      </w:r>
    </w:p>
  </w:footnote>
  <w:footnote w:type="continuationSeparator" w:id="0">
    <w:p w:rsidR="004E5A85" w:rsidRDefault="004E5A85">
      <w:pPr>
        <w:spacing w:after="0" w:line="240" w:lineRule="auto"/>
      </w:pPr>
      <w:r>
        <w:continuationSeparator/>
      </w:r>
    </w:p>
  </w:footnote>
  <w:footnote w:id="1">
    <w:p w:rsidR="009F2778" w:rsidRPr="0059507E" w:rsidRDefault="009F2778" w:rsidP="00976F4D">
      <w:pPr>
        <w:pStyle w:val="FootnoteText"/>
        <w:ind w:left="-709"/>
        <w:rPr>
          <w:rFonts w:ascii="Arial" w:hAnsi="Arial" w:cs="Arial"/>
        </w:rPr>
      </w:pPr>
      <w:r w:rsidRPr="0059507E">
        <w:rPr>
          <w:rStyle w:val="FootnoteReference"/>
          <w:rFonts w:ascii="Arial" w:hAnsi="Arial" w:cs="Arial"/>
        </w:rPr>
        <w:footnoteRef/>
      </w:r>
      <w:r w:rsidRPr="0059507E">
        <w:rPr>
          <w:rFonts w:ascii="Arial" w:hAnsi="Arial" w:cs="Arial"/>
        </w:rPr>
        <w:t xml:space="preserve"> </w:t>
      </w:r>
      <w:r w:rsidRPr="0059507E">
        <w:rPr>
          <w:rFonts w:ascii="Arial" w:hAnsi="Arial" w:cs="Arial"/>
          <w:bCs/>
          <w:shd w:val="clear" w:color="auto" w:fill="FFFFFF"/>
        </w:rPr>
        <w:t>A Manifesto for International Students, UKCISA, 2015</w:t>
      </w:r>
    </w:p>
  </w:footnote>
  <w:footnote w:id="2">
    <w:p w:rsidR="009F2778" w:rsidRPr="004D48FA" w:rsidRDefault="009F2778" w:rsidP="004D48FA">
      <w:pPr>
        <w:pStyle w:val="FootnoteText"/>
        <w:ind w:left="-709"/>
        <w:rPr>
          <w:rFonts w:ascii="Arial" w:hAnsi="Arial" w:cs="Arial"/>
        </w:rPr>
      </w:pPr>
      <w:r w:rsidRPr="004D48FA">
        <w:rPr>
          <w:rStyle w:val="FootnoteReference"/>
          <w:rFonts w:ascii="Arial" w:hAnsi="Arial" w:cs="Arial"/>
        </w:rPr>
        <w:footnoteRef/>
      </w:r>
      <w:r w:rsidRPr="004D48FA">
        <w:rPr>
          <w:rFonts w:ascii="Arial" w:hAnsi="Arial" w:cs="Arial"/>
        </w:rPr>
        <w:t xml:space="preserve"> Universities UK – Internatio</w:t>
      </w:r>
      <w:r>
        <w:rPr>
          <w:rFonts w:ascii="Arial" w:hAnsi="Arial" w:cs="Arial"/>
        </w:rPr>
        <w:t>nal Students Poll, ComRes, 2016</w:t>
      </w:r>
    </w:p>
  </w:footnote>
  <w:footnote w:id="3">
    <w:p w:rsidR="009F2778" w:rsidRDefault="009F2778" w:rsidP="00BD47AD">
      <w:pPr>
        <w:pStyle w:val="FootnoteText"/>
        <w:ind w:left="-709"/>
      </w:pPr>
      <w:r w:rsidRPr="0059507E">
        <w:rPr>
          <w:rStyle w:val="FootnoteReference"/>
          <w:rFonts w:ascii="Arial" w:hAnsi="Arial" w:cs="Arial"/>
        </w:rPr>
        <w:footnoteRef/>
      </w:r>
      <w:r w:rsidRPr="0059507E">
        <w:rPr>
          <w:rFonts w:ascii="Arial" w:hAnsi="Arial" w:cs="Arial"/>
        </w:rPr>
        <w:t xml:space="preserve"> End of Year Cycle 2016, UCAS, 2016</w:t>
      </w:r>
    </w:p>
  </w:footnote>
  <w:footnote w:id="4">
    <w:p w:rsidR="009F2778" w:rsidRPr="00DE3D1E" w:rsidRDefault="009F2778" w:rsidP="00BD47AD">
      <w:pPr>
        <w:pStyle w:val="FootnoteText"/>
        <w:ind w:left="-709"/>
        <w:rPr>
          <w:rFonts w:ascii="Arial" w:hAnsi="Arial" w:cs="Arial"/>
        </w:rPr>
      </w:pPr>
      <w:r w:rsidRPr="00DE3D1E">
        <w:rPr>
          <w:rStyle w:val="FootnoteReference"/>
          <w:rFonts w:ascii="Arial" w:hAnsi="Arial" w:cs="Arial"/>
        </w:rPr>
        <w:footnoteRef/>
      </w:r>
      <w:r w:rsidRPr="00DE3D1E">
        <w:rPr>
          <w:rFonts w:ascii="Arial" w:hAnsi="Arial" w:cs="Arial"/>
        </w:rPr>
        <w:t xml:space="preserve"> Financial health of the higher education sector</w:t>
      </w:r>
      <w:r>
        <w:rPr>
          <w:rFonts w:ascii="Arial" w:hAnsi="Arial" w:cs="Arial"/>
        </w:rPr>
        <w:t>, HEFCE, 2016</w:t>
      </w:r>
    </w:p>
  </w:footnote>
  <w:footnote w:id="5">
    <w:p w:rsidR="009F2778" w:rsidRPr="001D2C64" w:rsidRDefault="009F2778" w:rsidP="00BD47AD">
      <w:pPr>
        <w:pStyle w:val="FootnoteText"/>
        <w:ind w:left="-709"/>
        <w:rPr>
          <w:rFonts w:ascii="Arial" w:hAnsi="Arial" w:cs="Arial"/>
        </w:rPr>
      </w:pPr>
      <w:r w:rsidRPr="001D2C64">
        <w:rPr>
          <w:rStyle w:val="FootnoteReference"/>
          <w:rFonts w:ascii="Arial" w:hAnsi="Arial" w:cs="Arial"/>
        </w:rPr>
        <w:footnoteRef/>
      </w:r>
      <w:r w:rsidRPr="001D2C64">
        <w:rPr>
          <w:rFonts w:ascii="Arial" w:hAnsi="Arial" w:cs="Arial"/>
        </w:rPr>
        <w:t xml:space="preserve"> Determinants on International Demand for U.K. Higher Education, HEPI, 2017</w:t>
      </w:r>
    </w:p>
  </w:footnote>
  <w:footnote w:id="6">
    <w:p w:rsidR="009F2778" w:rsidRDefault="009F2778" w:rsidP="00BD47AD">
      <w:pPr>
        <w:pStyle w:val="FootnoteText"/>
        <w:ind w:left="-709"/>
      </w:pPr>
      <w:r>
        <w:rPr>
          <w:rStyle w:val="FootnoteReference"/>
        </w:rPr>
        <w:footnoteRef/>
      </w:r>
      <w:r>
        <w:t xml:space="preserve"> </w:t>
      </w:r>
      <w:r w:rsidRPr="001D2C64">
        <w:rPr>
          <w:rFonts w:ascii="Arial" w:hAnsi="Arial" w:cs="Arial"/>
        </w:rPr>
        <w:t>Determinants on International Demand for U.K. Higher Education, HEPI, 2017</w:t>
      </w:r>
    </w:p>
  </w:footnote>
  <w:footnote w:id="7">
    <w:p w:rsidR="009F2778" w:rsidRPr="00615CA7" w:rsidRDefault="009F2778" w:rsidP="00BD47AD">
      <w:pPr>
        <w:pStyle w:val="FootnoteText"/>
        <w:ind w:left="-709"/>
        <w:rPr>
          <w:rFonts w:ascii="Arial" w:hAnsi="Arial" w:cs="Arial"/>
        </w:rPr>
      </w:pPr>
      <w:r w:rsidRPr="00615CA7">
        <w:rPr>
          <w:rStyle w:val="FootnoteReference"/>
          <w:rFonts w:ascii="Arial" w:hAnsi="Arial" w:cs="Arial"/>
        </w:rPr>
        <w:footnoteRef/>
      </w:r>
      <w:r w:rsidRPr="00615CA7">
        <w:rPr>
          <w:rFonts w:ascii="Arial" w:hAnsi="Arial" w:cs="Arial"/>
        </w:rPr>
        <w:t xml:space="preserve"> The Economic Value of Creative Focused Universities and Colleges, GuildHE, 2016</w:t>
      </w:r>
    </w:p>
  </w:footnote>
  <w:footnote w:id="8">
    <w:p w:rsidR="009F2778" w:rsidRPr="00451CE5" w:rsidRDefault="009F2778" w:rsidP="00BD47AD">
      <w:pPr>
        <w:pStyle w:val="FootnoteText"/>
        <w:ind w:left="-709"/>
        <w:rPr>
          <w:rFonts w:ascii="Arial" w:hAnsi="Arial" w:cs="Arial"/>
        </w:rPr>
      </w:pPr>
      <w:r w:rsidRPr="00451CE5">
        <w:rPr>
          <w:rStyle w:val="FootnoteReference"/>
          <w:rFonts w:ascii="Arial" w:hAnsi="Arial" w:cs="Arial"/>
        </w:rPr>
        <w:footnoteRef/>
      </w:r>
      <w:r w:rsidRPr="00451CE5">
        <w:rPr>
          <w:rFonts w:ascii="Arial" w:hAnsi="Arial" w:cs="Arial"/>
        </w:rPr>
        <w:t xml:space="preserve"> HESA, 2014-15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78" w:rsidRDefault="009F2778">
    <w:pPr>
      <w:tabs>
        <w:tab w:val="center" w:pos="4320"/>
        <w:tab w:val="right" w:pos="8640"/>
      </w:tabs>
      <w:spacing w:before="720"/>
    </w:pPr>
    <w:r>
      <w:rPr>
        <w:noProof/>
        <w:lang w:eastAsia="en-GB"/>
      </w:rPr>
      <w:drawing>
        <wp:inline distT="0" distB="0" distL="0" distR="0" wp14:anchorId="21A72BDB" wp14:editId="254A35B8">
          <wp:extent cx="1400175" cy="1000125"/>
          <wp:effectExtent l="0" t="0" r="0" b="0"/>
          <wp:docPr id="2" name="image01.jpg" descr="guildHE_01_crop"/>
          <wp:cNvGraphicFramePr/>
          <a:graphic xmlns:a="http://schemas.openxmlformats.org/drawingml/2006/main">
            <a:graphicData uri="http://schemas.openxmlformats.org/drawingml/2006/picture">
              <pic:pic xmlns:pic="http://schemas.openxmlformats.org/drawingml/2006/picture">
                <pic:nvPicPr>
                  <pic:cNvPr id="0" name="image01.jpg" descr="guildHE_01_crop"/>
                  <pic:cNvPicPr preferRelativeResize="0"/>
                </pic:nvPicPr>
                <pic:blipFill>
                  <a:blip r:embed="rId1"/>
                  <a:srcRect/>
                  <a:stretch>
                    <a:fillRect/>
                  </a:stretch>
                </pic:blipFill>
                <pic:spPr>
                  <a:xfrm>
                    <a:off x="0" y="0"/>
                    <a:ext cx="1400175" cy="10001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368F1"/>
    <w:multiLevelType w:val="hybridMultilevel"/>
    <w:tmpl w:val="899C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A933B1"/>
    <w:multiLevelType w:val="hybridMultilevel"/>
    <w:tmpl w:val="BFB4FAFE"/>
    <w:lvl w:ilvl="0" w:tplc="7D7A4878">
      <w:start w:val="1"/>
      <w:numFmt w:val="decimal"/>
      <w:lvlText w:val="%1."/>
      <w:lvlJc w:val="left"/>
      <w:pPr>
        <w:ind w:left="1920" w:hanging="360"/>
      </w:pPr>
      <w:rPr>
        <w:rFonts w:ascii="Arial" w:eastAsia="Libre Baskerville" w:hAnsi="Arial" w:cs="Arial" w:hint="default"/>
        <w:i w:val="0"/>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701F1"/>
    <w:multiLevelType w:val="hybridMultilevel"/>
    <w:tmpl w:val="3A76118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15:restartNumberingAfterBreak="0">
    <w:nsid w:val="364C418F"/>
    <w:multiLevelType w:val="hybridMultilevel"/>
    <w:tmpl w:val="AF1C6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31494"/>
    <w:multiLevelType w:val="hybridMultilevel"/>
    <w:tmpl w:val="583EC368"/>
    <w:lvl w:ilvl="0" w:tplc="0809000F">
      <w:start w:val="1"/>
      <w:numFmt w:val="decimal"/>
      <w:lvlText w:val="%1."/>
      <w:lvlJc w:val="left"/>
      <w:pPr>
        <w:ind w:left="-66" w:hanging="360"/>
      </w:p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67AD2AE7"/>
    <w:multiLevelType w:val="hybridMultilevel"/>
    <w:tmpl w:val="1A3CF468"/>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E075BC"/>
    <w:multiLevelType w:val="hybridMultilevel"/>
    <w:tmpl w:val="EE3CF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4E"/>
    <w:rsid w:val="001D2C64"/>
    <w:rsid w:val="00307D07"/>
    <w:rsid w:val="00374E6A"/>
    <w:rsid w:val="003B0CA2"/>
    <w:rsid w:val="003B490F"/>
    <w:rsid w:val="004614AC"/>
    <w:rsid w:val="004D48FA"/>
    <w:rsid w:val="004E5A85"/>
    <w:rsid w:val="005854FB"/>
    <w:rsid w:val="00594971"/>
    <w:rsid w:val="005E4924"/>
    <w:rsid w:val="00633484"/>
    <w:rsid w:val="0075368B"/>
    <w:rsid w:val="0076634E"/>
    <w:rsid w:val="007A711B"/>
    <w:rsid w:val="0084121D"/>
    <w:rsid w:val="008838C3"/>
    <w:rsid w:val="008A5C9E"/>
    <w:rsid w:val="008D47BF"/>
    <w:rsid w:val="009632F4"/>
    <w:rsid w:val="00976F4D"/>
    <w:rsid w:val="009F259C"/>
    <w:rsid w:val="009F2778"/>
    <w:rsid w:val="00A553A5"/>
    <w:rsid w:val="00AB7B4F"/>
    <w:rsid w:val="00BD47AD"/>
    <w:rsid w:val="00C041EF"/>
    <w:rsid w:val="00C16F42"/>
    <w:rsid w:val="00C476B7"/>
    <w:rsid w:val="00CF5981"/>
    <w:rsid w:val="00D441FC"/>
    <w:rsid w:val="00D730F6"/>
    <w:rsid w:val="00D90ADF"/>
    <w:rsid w:val="00D95A43"/>
    <w:rsid w:val="00DA76D3"/>
    <w:rsid w:val="00DB58A9"/>
    <w:rsid w:val="00E5128E"/>
    <w:rsid w:val="00EA0C05"/>
    <w:rsid w:val="00ED4A64"/>
    <w:rsid w:val="00F67C2E"/>
    <w:rsid w:val="00FA0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B9C63B-0C7A-4821-994C-13462614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34E"/>
    <w:pPr>
      <w:tabs>
        <w:tab w:val="center" w:pos="4513"/>
        <w:tab w:val="right" w:pos="9026"/>
      </w:tabs>
      <w:spacing w:after="0" w:line="240" w:lineRule="auto"/>
    </w:pPr>
    <w:rPr>
      <w:rFonts w:ascii="Libre Baskerville" w:eastAsia="Libre Baskerville" w:hAnsi="Libre Baskerville" w:cs="Libre Baskerville"/>
      <w:color w:val="000000"/>
      <w:sz w:val="21"/>
      <w:szCs w:val="21"/>
      <w:lang w:eastAsia="en-GB"/>
    </w:rPr>
  </w:style>
  <w:style w:type="character" w:customStyle="1" w:styleId="FooterChar">
    <w:name w:val="Footer Char"/>
    <w:basedOn w:val="DefaultParagraphFont"/>
    <w:link w:val="Footer"/>
    <w:uiPriority w:val="99"/>
    <w:rsid w:val="0076634E"/>
    <w:rPr>
      <w:rFonts w:ascii="Libre Baskerville" w:eastAsia="Libre Baskerville" w:hAnsi="Libre Baskerville" w:cs="Libre Baskerville"/>
      <w:color w:val="000000"/>
      <w:sz w:val="21"/>
      <w:szCs w:val="21"/>
      <w:lang w:eastAsia="en-GB"/>
    </w:rPr>
  </w:style>
  <w:style w:type="paragraph" w:styleId="ListParagraph">
    <w:name w:val="List Paragraph"/>
    <w:basedOn w:val="Normal"/>
    <w:uiPriority w:val="34"/>
    <w:qFormat/>
    <w:rsid w:val="00594971"/>
    <w:pPr>
      <w:ind w:left="720"/>
      <w:contextualSpacing/>
    </w:pPr>
  </w:style>
  <w:style w:type="paragraph" w:styleId="FootnoteText">
    <w:name w:val="footnote text"/>
    <w:basedOn w:val="Normal"/>
    <w:link w:val="FootnoteTextChar"/>
    <w:uiPriority w:val="99"/>
    <w:semiHidden/>
    <w:unhideWhenUsed/>
    <w:rsid w:val="00976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F4D"/>
    <w:rPr>
      <w:sz w:val="20"/>
      <w:szCs w:val="20"/>
    </w:rPr>
  </w:style>
  <w:style w:type="character" w:styleId="FootnoteReference">
    <w:name w:val="footnote reference"/>
    <w:basedOn w:val="DefaultParagraphFont"/>
    <w:uiPriority w:val="99"/>
    <w:semiHidden/>
    <w:unhideWhenUsed/>
    <w:rsid w:val="00976F4D"/>
    <w:rPr>
      <w:vertAlign w:val="superscript"/>
    </w:rPr>
  </w:style>
  <w:style w:type="paragraph" w:styleId="BalloonText">
    <w:name w:val="Balloon Text"/>
    <w:basedOn w:val="Normal"/>
    <w:link w:val="BalloonTextChar"/>
    <w:uiPriority w:val="99"/>
    <w:semiHidden/>
    <w:unhideWhenUsed/>
    <w:rsid w:val="00BD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7AD"/>
    <w:rPr>
      <w:rFonts w:ascii="Segoe UI" w:hAnsi="Segoe UI" w:cs="Segoe UI"/>
      <w:sz w:val="18"/>
      <w:szCs w:val="18"/>
    </w:rPr>
  </w:style>
  <w:style w:type="paragraph" w:styleId="Header">
    <w:name w:val="header"/>
    <w:basedOn w:val="Normal"/>
    <w:link w:val="HeaderChar"/>
    <w:uiPriority w:val="99"/>
    <w:unhideWhenUsed/>
    <w:rsid w:val="00BD4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7AD"/>
  </w:style>
  <w:style w:type="character" w:styleId="Hyperlink">
    <w:name w:val="Hyperlink"/>
    <w:basedOn w:val="DefaultParagraphFont"/>
    <w:uiPriority w:val="99"/>
    <w:unhideWhenUsed/>
    <w:rsid w:val="007A711B"/>
    <w:rPr>
      <w:color w:val="0563C1" w:themeColor="hyperlink"/>
      <w:u w:val="single"/>
    </w:rPr>
  </w:style>
  <w:style w:type="character" w:styleId="CommentReference">
    <w:name w:val="annotation reference"/>
    <w:basedOn w:val="DefaultParagraphFont"/>
    <w:uiPriority w:val="99"/>
    <w:semiHidden/>
    <w:unhideWhenUsed/>
    <w:rsid w:val="003B0CA2"/>
    <w:rPr>
      <w:sz w:val="18"/>
      <w:szCs w:val="18"/>
    </w:rPr>
  </w:style>
  <w:style w:type="paragraph" w:styleId="CommentText">
    <w:name w:val="annotation text"/>
    <w:basedOn w:val="Normal"/>
    <w:link w:val="CommentTextChar"/>
    <w:uiPriority w:val="99"/>
    <w:semiHidden/>
    <w:unhideWhenUsed/>
    <w:rsid w:val="003B0CA2"/>
    <w:pPr>
      <w:spacing w:line="240" w:lineRule="auto"/>
    </w:pPr>
    <w:rPr>
      <w:sz w:val="24"/>
      <w:szCs w:val="24"/>
    </w:rPr>
  </w:style>
  <w:style w:type="character" w:customStyle="1" w:styleId="CommentTextChar">
    <w:name w:val="Comment Text Char"/>
    <w:basedOn w:val="DefaultParagraphFont"/>
    <w:link w:val="CommentText"/>
    <w:uiPriority w:val="99"/>
    <w:semiHidden/>
    <w:rsid w:val="003B0CA2"/>
    <w:rPr>
      <w:sz w:val="24"/>
      <w:szCs w:val="24"/>
    </w:rPr>
  </w:style>
  <w:style w:type="paragraph" w:styleId="CommentSubject">
    <w:name w:val="annotation subject"/>
    <w:basedOn w:val="CommentText"/>
    <w:next w:val="CommentText"/>
    <w:link w:val="CommentSubjectChar"/>
    <w:uiPriority w:val="99"/>
    <w:semiHidden/>
    <w:unhideWhenUsed/>
    <w:rsid w:val="003B0CA2"/>
    <w:rPr>
      <w:b/>
      <w:bCs/>
      <w:sz w:val="20"/>
      <w:szCs w:val="20"/>
    </w:rPr>
  </w:style>
  <w:style w:type="character" w:customStyle="1" w:styleId="CommentSubjectChar">
    <w:name w:val="Comment Subject Char"/>
    <w:basedOn w:val="CommentTextChar"/>
    <w:link w:val="CommentSubject"/>
    <w:uiPriority w:val="99"/>
    <w:semiHidden/>
    <w:rsid w:val="003B0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dh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turhan@guildhe.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93AC-2283-474C-8B14-8DD5FDC0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Turnhan</dc:creator>
  <cp:keywords/>
  <dc:description/>
  <cp:lastModifiedBy>Cat Turnhan</cp:lastModifiedBy>
  <cp:revision>2</cp:revision>
  <cp:lastPrinted>2017-01-16T16:21:00Z</cp:lastPrinted>
  <dcterms:created xsi:type="dcterms:W3CDTF">2017-01-20T10:41:00Z</dcterms:created>
  <dcterms:modified xsi:type="dcterms:W3CDTF">2017-01-20T10:41:00Z</dcterms:modified>
</cp:coreProperties>
</file>